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712B6" w14:textId="652A7773" w:rsidR="00C15909" w:rsidRDefault="00AD2BD4" w:rsidP="006A0D93">
      <w:pPr>
        <w:autoSpaceDE w:val="0"/>
        <w:autoSpaceDN w:val="0"/>
        <w:adjustRightInd w:val="0"/>
        <w:spacing w:after="0" w:line="360" w:lineRule="auto"/>
        <w:jc w:val="center"/>
        <w:rPr>
          <w:rFonts w:cs="Times New Roman"/>
          <w:sz w:val="28"/>
          <w:szCs w:val="28"/>
        </w:rPr>
      </w:pPr>
      <w:r>
        <w:rPr>
          <w:noProof/>
          <w:lang w:eastAsia="lv-LV"/>
        </w:rPr>
        <w:drawing>
          <wp:inline distT="0" distB="0" distL="0" distR="0" wp14:anchorId="4D527D3F" wp14:editId="1AAFCBCF">
            <wp:extent cx="1581150" cy="15811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bookmarkStart w:id="0" w:name="_GoBack"/>
      <w:bookmarkEnd w:id="0"/>
    </w:p>
    <w:p w14:paraId="4D859CD8" w14:textId="77777777" w:rsidR="00C15909" w:rsidRDefault="00C15909" w:rsidP="006A0D93">
      <w:pPr>
        <w:autoSpaceDE w:val="0"/>
        <w:autoSpaceDN w:val="0"/>
        <w:adjustRightInd w:val="0"/>
        <w:spacing w:after="0" w:line="240" w:lineRule="auto"/>
        <w:jc w:val="center"/>
        <w:rPr>
          <w:rFonts w:cs="Times New Roman"/>
          <w:sz w:val="28"/>
          <w:szCs w:val="28"/>
        </w:rPr>
      </w:pPr>
    </w:p>
    <w:p w14:paraId="19DEE44F" w14:textId="2CF8ED88" w:rsidR="00C15909" w:rsidRDefault="00AD2BD4" w:rsidP="006A0D93">
      <w:pPr>
        <w:autoSpaceDE w:val="0"/>
        <w:autoSpaceDN w:val="0"/>
        <w:adjustRightInd w:val="0"/>
        <w:spacing w:after="0" w:line="240" w:lineRule="auto"/>
        <w:jc w:val="center"/>
        <w:rPr>
          <w:rFonts w:cs="Times New Roman"/>
          <w:sz w:val="28"/>
          <w:szCs w:val="28"/>
        </w:rPr>
      </w:pPr>
      <w:r>
        <w:rPr>
          <w:rFonts w:cs="Times New Roman"/>
          <w:sz w:val="28"/>
          <w:szCs w:val="28"/>
        </w:rPr>
        <w:t>RTU Liepāja</w:t>
      </w:r>
    </w:p>
    <w:p w14:paraId="16E97C60" w14:textId="77777777" w:rsidR="00C15909" w:rsidRDefault="00C15909" w:rsidP="006A0D93">
      <w:pPr>
        <w:autoSpaceDE w:val="0"/>
        <w:autoSpaceDN w:val="0"/>
        <w:adjustRightInd w:val="0"/>
        <w:spacing w:after="0" w:line="240" w:lineRule="auto"/>
        <w:jc w:val="center"/>
        <w:rPr>
          <w:rFonts w:cs="Times New Roman"/>
          <w:sz w:val="28"/>
          <w:szCs w:val="28"/>
        </w:rPr>
      </w:pPr>
      <w:r>
        <w:rPr>
          <w:rFonts w:cs="Times New Roman"/>
          <w:sz w:val="28"/>
          <w:szCs w:val="28"/>
        </w:rPr>
        <w:t>Mūžizglītības nodaļa</w:t>
      </w:r>
    </w:p>
    <w:p w14:paraId="165521E7" w14:textId="77777777" w:rsidR="00C15909" w:rsidRDefault="00C15909" w:rsidP="00CC4477">
      <w:pPr>
        <w:autoSpaceDE w:val="0"/>
        <w:autoSpaceDN w:val="0"/>
        <w:adjustRightInd w:val="0"/>
        <w:spacing w:after="0" w:line="240" w:lineRule="auto"/>
        <w:jc w:val="both"/>
        <w:rPr>
          <w:rFonts w:cs="Times New Roman"/>
          <w:sz w:val="28"/>
          <w:szCs w:val="28"/>
        </w:rPr>
      </w:pPr>
    </w:p>
    <w:p w14:paraId="5B026924" w14:textId="77777777" w:rsidR="00C15909" w:rsidRDefault="00C15909" w:rsidP="00CC4477">
      <w:pPr>
        <w:autoSpaceDE w:val="0"/>
        <w:autoSpaceDN w:val="0"/>
        <w:adjustRightInd w:val="0"/>
        <w:spacing w:after="0" w:line="240" w:lineRule="auto"/>
        <w:jc w:val="both"/>
        <w:rPr>
          <w:rFonts w:cs="Times New Roman"/>
          <w:sz w:val="28"/>
          <w:szCs w:val="28"/>
        </w:rPr>
      </w:pPr>
    </w:p>
    <w:p w14:paraId="06887C33" w14:textId="77777777" w:rsidR="00C15909" w:rsidRDefault="00C15909" w:rsidP="00CC4477">
      <w:pPr>
        <w:autoSpaceDE w:val="0"/>
        <w:autoSpaceDN w:val="0"/>
        <w:adjustRightInd w:val="0"/>
        <w:spacing w:after="0" w:line="240" w:lineRule="auto"/>
        <w:jc w:val="both"/>
        <w:rPr>
          <w:rFonts w:cs="Times New Roman"/>
          <w:sz w:val="28"/>
          <w:szCs w:val="28"/>
        </w:rPr>
      </w:pPr>
    </w:p>
    <w:p w14:paraId="3D115624" w14:textId="77777777" w:rsidR="00C15909" w:rsidRDefault="00C15909" w:rsidP="00CC4477">
      <w:pPr>
        <w:autoSpaceDE w:val="0"/>
        <w:autoSpaceDN w:val="0"/>
        <w:adjustRightInd w:val="0"/>
        <w:spacing w:after="0" w:line="240" w:lineRule="auto"/>
        <w:jc w:val="both"/>
        <w:rPr>
          <w:rFonts w:cs="Times New Roman"/>
          <w:sz w:val="28"/>
          <w:szCs w:val="28"/>
        </w:rPr>
      </w:pPr>
    </w:p>
    <w:p w14:paraId="5D2283F5" w14:textId="77777777" w:rsidR="00C15909" w:rsidRDefault="00C15909" w:rsidP="00CC4477">
      <w:pPr>
        <w:autoSpaceDE w:val="0"/>
        <w:autoSpaceDN w:val="0"/>
        <w:adjustRightInd w:val="0"/>
        <w:spacing w:after="0" w:line="240" w:lineRule="auto"/>
        <w:jc w:val="both"/>
        <w:rPr>
          <w:rFonts w:cs="Times New Roman"/>
          <w:sz w:val="28"/>
          <w:szCs w:val="28"/>
        </w:rPr>
      </w:pPr>
    </w:p>
    <w:p w14:paraId="102D48E4" w14:textId="77777777" w:rsidR="00C15909" w:rsidRDefault="00C15909" w:rsidP="00CC4477">
      <w:pPr>
        <w:autoSpaceDE w:val="0"/>
        <w:autoSpaceDN w:val="0"/>
        <w:adjustRightInd w:val="0"/>
        <w:spacing w:after="0" w:line="240" w:lineRule="auto"/>
        <w:jc w:val="both"/>
        <w:rPr>
          <w:rFonts w:cs="Times New Roman"/>
          <w:sz w:val="28"/>
          <w:szCs w:val="28"/>
        </w:rPr>
      </w:pPr>
    </w:p>
    <w:p w14:paraId="3452021C" w14:textId="77777777" w:rsidR="00C15909" w:rsidRDefault="00C15909" w:rsidP="00CC4477">
      <w:pPr>
        <w:autoSpaceDE w:val="0"/>
        <w:autoSpaceDN w:val="0"/>
        <w:adjustRightInd w:val="0"/>
        <w:spacing w:after="0" w:line="240" w:lineRule="auto"/>
        <w:jc w:val="both"/>
        <w:rPr>
          <w:rFonts w:cs="Times New Roman"/>
          <w:sz w:val="28"/>
          <w:szCs w:val="28"/>
        </w:rPr>
      </w:pPr>
    </w:p>
    <w:p w14:paraId="4927B740" w14:textId="77777777" w:rsidR="00C15909" w:rsidRDefault="00C15909" w:rsidP="00CC4477">
      <w:pPr>
        <w:autoSpaceDE w:val="0"/>
        <w:autoSpaceDN w:val="0"/>
        <w:adjustRightInd w:val="0"/>
        <w:spacing w:after="0" w:line="240" w:lineRule="auto"/>
        <w:jc w:val="both"/>
        <w:rPr>
          <w:rFonts w:cs="Times New Roman"/>
          <w:sz w:val="28"/>
          <w:szCs w:val="28"/>
        </w:rPr>
      </w:pPr>
    </w:p>
    <w:p w14:paraId="13ADEC3E" w14:textId="33455E26" w:rsidR="00C15909" w:rsidRPr="00D04080" w:rsidRDefault="00344CA7" w:rsidP="006A0D93">
      <w:pPr>
        <w:autoSpaceDE w:val="0"/>
        <w:autoSpaceDN w:val="0"/>
        <w:adjustRightInd w:val="0"/>
        <w:spacing w:after="0" w:line="240" w:lineRule="auto"/>
        <w:jc w:val="center"/>
        <w:rPr>
          <w:rFonts w:cs="Times New Roman"/>
          <w:sz w:val="28"/>
          <w:szCs w:val="28"/>
        </w:rPr>
      </w:pPr>
      <w:r w:rsidRPr="00D04080">
        <w:rPr>
          <w:rFonts w:cs="Times New Roman"/>
          <w:sz w:val="28"/>
          <w:szCs w:val="28"/>
        </w:rPr>
        <w:t>Matīss Rihards Ikše</w:t>
      </w:r>
    </w:p>
    <w:p w14:paraId="124CBFC6" w14:textId="77777777" w:rsidR="00C15909" w:rsidRPr="00072442" w:rsidRDefault="00C15909" w:rsidP="006A0D93">
      <w:pPr>
        <w:autoSpaceDE w:val="0"/>
        <w:autoSpaceDN w:val="0"/>
        <w:adjustRightInd w:val="0"/>
        <w:spacing w:after="0" w:line="240" w:lineRule="auto"/>
        <w:jc w:val="center"/>
        <w:rPr>
          <w:rFonts w:cs="Times New Roman"/>
          <w:sz w:val="28"/>
          <w:szCs w:val="28"/>
          <w:highlight w:val="yellow"/>
        </w:rPr>
      </w:pPr>
    </w:p>
    <w:p w14:paraId="2565B9B7" w14:textId="067A465D" w:rsidR="00C15909" w:rsidRDefault="00F572A6" w:rsidP="006A0D93">
      <w:pPr>
        <w:autoSpaceDE w:val="0"/>
        <w:autoSpaceDN w:val="0"/>
        <w:adjustRightInd w:val="0"/>
        <w:spacing w:after="0" w:line="240" w:lineRule="auto"/>
        <w:jc w:val="center"/>
        <w:rPr>
          <w:rFonts w:cs="Times New Roman"/>
          <w:b/>
          <w:bCs/>
          <w:sz w:val="32"/>
          <w:szCs w:val="32"/>
        </w:rPr>
      </w:pPr>
      <w:r>
        <w:rPr>
          <w:rFonts w:cs="Times New Roman"/>
          <w:b/>
          <w:bCs/>
          <w:sz w:val="32"/>
          <w:szCs w:val="32"/>
        </w:rPr>
        <w:t>M</w:t>
      </w:r>
      <w:r w:rsidR="00344CA7">
        <w:rPr>
          <w:rFonts w:cs="Times New Roman"/>
          <w:b/>
          <w:bCs/>
          <w:sz w:val="32"/>
          <w:szCs w:val="32"/>
        </w:rPr>
        <w:t xml:space="preserve">ācību </w:t>
      </w:r>
      <w:r w:rsidR="002348AA">
        <w:rPr>
          <w:rFonts w:cs="Times New Roman"/>
          <w:b/>
          <w:bCs/>
          <w:sz w:val="32"/>
          <w:szCs w:val="32"/>
        </w:rPr>
        <w:t>norise</w:t>
      </w:r>
      <w:r>
        <w:rPr>
          <w:rFonts w:cs="Times New Roman"/>
          <w:b/>
          <w:bCs/>
          <w:sz w:val="32"/>
          <w:szCs w:val="32"/>
        </w:rPr>
        <w:t>s īpatnības pieaugušajiem starptautiskā vidē: Latvijas Nacionālās bibliotēkas “Bibliotēku, informācijas un arhīvu zinības” gadījuma pētījums</w:t>
      </w:r>
    </w:p>
    <w:p w14:paraId="4A927074" w14:textId="77777777" w:rsidR="00C15909" w:rsidRDefault="00C15909" w:rsidP="006A0D93">
      <w:pPr>
        <w:autoSpaceDE w:val="0"/>
        <w:autoSpaceDN w:val="0"/>
        <w:adjustRightInd w:val="0"/>
        <w:spacing w:after="0" w:line="240" w:lineRule="auto"/>
        <w:jc w:val="center"/>
        <w:rPr>
          <w:rFonts w:cs="Times New Roman"/>
          <w:sz w:val="28"/>
          <w:szCs w:val="28"/>
        </w:rPr>
      </w:pPr>
    </w:p>
    <w:p w14:paraId="6EF0FD36" w14:textId="4A1169AB" w:rsidR="00C15909" w:rsidRDefault="00C15909" w:rsidP="006A0D93">
      <w:pPr>
        <w:autoSpaceDE w:val="0"/>
        <w:autoSpaceDN w:val="0"/>
        <w:adjustRightInd w:val="0"/>
        <w:spacing w:after="0" w:line="240" w:lineRule="auto"/>
        <w:jc w:val="center"/>
        <w:rPr>
          <w:rFonts w:cs="Times New Roman"/>
          <w:sz w:val="28"/>
          <w:szCs w:val="28"/>
        </w:rPr>
      </w:pPr>
      <w:r>
        <w:rPr>
          <w:rFonts w:cs="Times New Roman"/>
          <w:sz w:val="28"/>
          <w:szCs w:val="28"/>
        </w:rPr>
        <w:t xml:space="preserve">Darbības pētījums </w:t>
      </w:r>
      <w:r w:rsidR="00A83E8B">
        <w:rPr>
          <w:rFonts w:cs="Times New Roman"/>
          <w:sz w:val="28"/>
          <w:szCs w:val="28"/>
        </w:rPr>
        <w:t>profesionālās</w:t>
      </w:r>
      <w:r>
        <w:rPr>
          <w:rFonts w:cs="Times New Roman"/>
          <w:sz w:val="28"/>
          <w:szCs w:val="28"/>
        </w:rPr>
        <w:t xml:space="preserve"> pilnveides kursos „Pedagoģi</w:t>
      </w:r>
      <w:r w:rsidR="00072442">
        <w:rPr>
          <w:rFonts w:cs="Times New Roman"/>
          <w:sz w:val="28"/>
          <w:szCs w:val="28"/>
        </w:rPr>
        <w:t>skās darbības pamati</w:t>
      </w:r>
      <w:r>
        <w:rPr>
          <w:rFonts w:cs="Times New Roman"/>
          <w:sz w:val="28"/>
          <w:szCs w:val="28"/>
        </w:rPr>
        <w:t>”</w:t>
      </w:r>
    </w:p>
    <w:p w14:paraId="2E2EF01D" w14:textId="77777777" w:rsidR="00C15909" w:rsidRDefault="00C15909" w:rsidP="006A0D93">
      <w:pPr>
        <w:autoSpaceDE w:val="0"/>
        <w:autoSpaceDN w:val="0"/>
        <w:adjustRightInd w:val="0"/>
        <w:spacing w:after="0" w:line="240" w:lineRule="auto"/>
        <w:jc w:val="center"/>
        <w:rPr>
          <w:rFonts w:cs="Times New Roman"/>
          <w:sz w:val="28"/>
          <w:szCs w:val="28"/>
        </w:rPr>
      </w:pPr>
    </w:p>
    <w:p w14:paraId="59BE46CD" w14:textId="77777777" w:rsidR="00C15909" w:rsidRDefault="00C15909" w:rsidP="006A0D93">
      <w:pPr>
        <w:autoSpaceDE w:val="0"/>
        <w:autoSpaceDN w:val="0"/>
        <w:adjustRightInd w:val="0"/>
        <w:spacing w:after="0" w:line="240" w:lineRule="auto"/>
        <w:jc w:val="center"/>
        <w:rPr>
          <w:rFonts w:cs="Times New Roman"/>
          <w:sz w:val="28"/>
          <w:szCs w:val="28"/>
        </w:rPr>
      </w:pPr>
    </w:p>
    <w:p w14:paraId="73AEFE23" w14:textId="77777777" w:rsidR="00C15909" w:rsidRDefault="00C15909" w:rsidP="006A0D93">
      <w:pPr>
        <w:autoSpaceDE w:val="0"/>
        <w:autoSpaceDN w:val="0"/>
        <w:adjustRightInd w:val="0"/>
        <w:spacing w:after="0" w:line="240" w:lineRule="auto"/>
        <w:jc w:val="center"/>
        <w:rPr>
          <w:rFonts w:cs="Times New Roman"/>
          <w:sz w:val="28"/>
          <w:szCs w:val="28"/>
        </w:rPr>
      </w:pPr>
    </w:p>
    <w:p w14:paraId="1B58727D" w14:textId="77777777" w:rsidR="00C15909" w:rsidRDefault="00C15909" w:rsidP="006A0D93">
      <w:pPr>
        <w:autoSpaceDE w:val="0"/>
        <w:autoSpaceDN w:val="0"/>
        <w:adjustRightInd w:val="0"/>
        <w:spacing w:after="0" w:line="240" w:lineRule="auto"/>
        <w:jc w:val="center"/>
        <w:rPr>
          <w:rFonts w:cs="Times New Roman"/>
          <w:sz w:val="28"/>
          <w:szCs w:val="28"/>
        </w:rPr>
      </w:pPr>
    </w:p>
    <w:p w14:paraId="2B2CDCEF" w14:textId="77777777" w:rsidR="00C15909" w:rsidRDefault="00C15909" w:rsidP="006A0D93">
      <w:pPr>
        <w:autoSpaceDE w:val="0"/>
        <w:autoSpaceDN w:val="0"/>
        <w:adjustRightInd w:val="0"/>
        <w:spacing w:after="0" w:line="240" w:lineRule="auto"/>
        <w:jc w:val="center"/>
        <w:rPr>
          <w:rFonts w:cs="Times New Roman"/>
          <w:sz w:val="28"/>
          <w:szCs w:val="28"/>
        </w:rPr>
      </w:pPr>
    </w:p>
    <w:p w14:paraId="73248726" w14:textId="7137D0DE" w:rsidR="00C15909" w:rsidRDefault="00C15909" w:rsidP="006A0D93">
      <w:pPr>
        <w:autoSpaceDE w:val="0"/>
        <w:autoSpaceDN w:val="0"/>
        <w:adjustRightInd w:val="0"/>
        <w:spacing w:after="0" w:line="240" w:lineRule="auto"/>
        <w:jc w:val="center"/>
        <w:rPr>
          <w:rFonts w:cs="Times New Roman"/>
          <w:sz w:val="28"/>
          <w:szCs w:val="28"/>
        </w:rPr>
      </w:pPr>
      <w:r>
        <w:rPr>
          <w:rFonts w:cs="Times New Roman"/>
          <w:sz w:val="28"/>
          <w:szCs w:val="28"/>
        </w:rPr>
        <w:t>Pētnieciskā darba</w:t>
      </w:r>
      <w:r>
        <w:rPr>
          <w:rFonts w:ascii="TimesNewRoman" w:hAnsi="TimesNewRoman" w:cs="TimesNewRoman"/>
          <w:sz w:val="28"/>
          <w:szCs w:val="28"/>
        </w:rPr>
        <w:t xml:space="preserve"> </w:t>
      </w:r>
      <w:r>
        <w:rPr>
          <w:rFonts w:cs="Times New Roman"/>
          <w:sz w:val="28"/>
          <w:szCs w:val="28"/>
        </w:rPr>
        <w:t>vad</w:t>
      </w:r>
      <w:r>
        <w:rPr>
          <w:rFonts w:ascii="TimesNewRoman" w:hAnsi="TimesNewRoman" w:cs="TimesNewRoman"/>
          <w:sz w:val="28"/>
          <w:szCs w:val="28"/>
        </w:rPr>
        <w:t>ī</w:t>
      </w:r>
      <w:r>
        <w:rPr>
          <w:rFonts w:cs="Times New Roman"/>
          <w:sz w:val="28"/>
          <w:szCs w:val="28"/>
        </w:rPr>
        <w:t>t</w:t>
      </w:r>
      <w:r>
        <w:rPr>
          <w:rFonts w:ascii="TimesNewRoman" w:hAnsi="TimesNewRoman" w:cs="TimesNewRoman"/>
          <w:sz w:val="28"/>
          <w:szCs w:val="28"/>
        </w:rPr>
        <w:t>ā</w:t>
      </w:r>
      <w:r w:rsidR="00072442">
        <w:rPr>
          <w:rFonts w:cs="Times New Roman"/>
          <w:sz w:val="28"/>
          <w:szCs w:val="28"/>
        </w:rPr>
        <w:t>ja</w:t>
      </w:r>
      <w:r>
        <w:rPr>
          <w:rFonts w:cs="Times New Roman"/>
          <w:sz w:val="28"/>
          <w:szCs w:val="28"/>
        </w:rPr>
        <w:t>:</w:t>
      </w:r>
    </w:p>
    <w:p w14:paraId="5B61C433" w14:textId="77777777" w:rsidR="00C15909" w:rsidRDefault="00C15909" w:rsidP="006A0D93">
      <w:pPr>
        <w:autoSpaceDE w:val="0"/>
        <w:autoSpaceDN w:val="0"/>
        <w:adjustRightInd w:val="0"/>
        <w:spacing w:after="0" w:line="240" w:lineRule="auto"/>
        <w:jc w:val="center"/>
        <w:rPr>
          <w:rFonts w:cs="Times New Roman"/>
          <w:sz w:val="28"/>
          <w:szCs w:val="28"/>
        </w:rPr>
      </w:pPr>
    </w:p>
    <w:p w14:paraId="50B0BB0F" w14:textId="1BEA1576" w:rsidR="00301A64" w:rsidRDefault="00301A64" w:rsidP="006A0D93">
      <w:pPr>
        <w:autoSpaceDE w:val="0"/>
        <w:autoSpaceDN w:val="0"/>
        <w:adjustRightInd w:val="0"/>
        <w:spacing w:after="0" w:line="240" w:lineRule="auto"/>
        <w:jc w:val="center"/>
        <w:rPr>
          <w:rFonts w:cs="Times New Roman"/>
          <w:sz w:val="28"/>
          <w:szCs w:val="28"/>
        </w:rPr>
      </w:pPr>
      <w:r>
        <w:rPr>
          <w:rFonts w:cs="Times New Roman"/>
          <w:sz w:val="28"/>
          <w:szCs w:val="28"/>
        </w:rPr>
        <w:t xml:space="preserve">Lāsma </w:t>
      </w:r>
      <w:proofErr w:type="spellStart"/>
      <w:r>
        <w:rPr>
          <w:rFonts w:cs="Times New Roman"/>
          <w:sz w:val="28"/>
          <w:szCs w:val="28"/>
        </w:rPr>
        <w:t>Latsone</w:t>
      </w:r>
      <w:proofErr w:type="spellEnd"/>
      <w:r>
        <w:rPr>
          <w:rFonts w:cs="Times New Roman"/>
          <w:sz w:val="28"/>
          <w:szCs w:val="28"/>
        </w:rPr>
        <w:t xml:space="preserve">, </w:t>
      </w:r>
      <w:proofErr w:type="spellStart"/>
      <w:r>
        <w:rPr>
          <w:rFonts w:cs="Times New Roman"/>
          <w:sz w:val="28"/>
          <w:szCs w:val="28"/>
        </w:rPr>
        <w:t>Ph.D</w:t>
      </w:r>
      <w:proofErr w:type="spellEnd"/>
      <w:r>
        <w:rPr>
          <w:rFonts w:cs="Times New Roman"/>
          <w:sz w:val="28"/>
          <w:szCs w:val="28"/>
        </w:rPr>
        <w:t xml:space="preserve">., </w:t>
      </w:r>
      <w:r w:rsidR="00072442">
        <w:rPr>
          <w:rFonts w:cs="Times New Roman"/>
          <w:sz w:val="28"/>
          <w:szCs w:val="28"/>
        </w:rPr>
        <w:t>asoc. prof.</w:t>
      </w:r>
    </w:p>
    <w:p w14:paraId="0649FA00" w14:textId="77777777" w:rsidR="00C15909" w:rsidRDefault="00C15909" w:rsidP="006A0D93">
      <w:pPr>
        <w:jc w:val="center"/>
        <w:rPr>
          <w:rFonts w:cs="Times New Roman"/>
          <w:sz w:val="28"/>
          <w:szCs w:val="28"/>
        </w:rPr>
      </w:pPr>
    </w:p>
    <w:p w14:paraId="5F087EF5" w14:textId="77777777" w:rsidR="00C15909" w:rsidRDefault="00C15909" w:rsidP="006A0D93">
      <w:pPr>
        <w:jc w:val="center"/>
        <w:rPr>
          <w:rFonts w:cs="Times New Roman"/>
          <w:sz w:val="28"/>
          <w:szCs w:val="28"/>
        </w:rPr>
      </w:pPr>
    </w:p>
    <w:p w14:paraId="63FB563E" w14:textId="77777777" w:rsidR="00C15909" w:rsidRDefault="00C15909" w:rsidP="006A0D93">
      <w:pPr>
        <w:jc w:val="center"/>
        <w:rPr>
          <w:rFonts w:cs="Times New Roman"/>
          <w:sz w:val="28"/>
          <w:szCs w:val="28"/>
        </w:rPr>
      </w:pPr>
    </w:p>
    <w:p w14:paraId="763DE557" w14:textId="77777777" w:rsidR="00C15909" w:rsidRDefault="00C15909" w:rsidP="006A0D93">
      <w:pPr>
        <w:jc w:val="center"/>
        <w:rPr>
          <w:rFonts w:cs="Times New Roman"/>
          <w:sz w:val="28"/>
          <w:szCs w:val="28"/>
        </w:rPr>
      </w:pPr>
    </w:p>
    <w:p w14:paraId="1AADCD11" w14:textId="163993CC" w:rsidR="00F572A6" w:rsidRDefault="00C15909" w:rsidP="006A0D93">
      <w:pPr>
        <w:jc w:val="center"/>
        <w:rPr>
          <w:rFonts w:cs="Times New Roman"/>
          <w:sz w:val="28"/>
          <w:szCs w:val="28"/>
        </w:rPr>
      </w:pPr>
      <w:r>
        <w:rPr>
          <w:rFonts w:cs="Times New Roman"/>
          <w:sz w:val="28"/>
          <w:szCs w:val="28"/>
        </w:rPr>
        <w:t>Liep</w:t>
      </w:r>
      <w:r>
        <w:rPr>
          <w:rFonts w:ascii="TimesNewRoman" w:hAnsi="TimesNewRoman" w:cs="TimesNewRoman"/>
          <w:sz w:val="28"/>
          <w:szCs w:val="28"/>
        </w:rPr>
        <w:t>ā</w:t>
      </w:r>
      <w:r>
        <w:rPr>
          <w:rFonts w:cs="Times New Roman"/>
          <w:sz w:val="28"/>
          <w:szCs w:val="28"/>
        </w:rPr>
        <w:t xml:space="preserve">ja </w:t>
      </w:r>
      <w:r w:rsidR="00072442">
        <w:rPr>
          <w:rFonts w:cs="Times New Roman"/>
          <w:sz w:val="28"/>
          <w:szCs w:val="28"/>
        </w:rPr>
        <w:t>202</w:t>
      </w:r>
      <w:r w:rsidR="00F572A6">
        <w:rPr>
          <w:rFonts w:cs="Times New Roman"/>
          <w:sz w:val="28"/>
          <w:szCs w:val="28"/>
        </w:rPr>
        <w:t>5</w:t>
      </w:r>
    </w:p>
    <w:p w14:paraId="032544C6" w14:textId="7A9AA03D" w:rsidR="00A67ADF" w:rsidRDefault="00A67ADF" w:rsidP="00CC4477">
      <w:pPr>
        <w:jc w:val="both"/>
        <w:rPr>
          <w:b/>
          <w:bCs/>
          <w:sz w:val="28"/>
          <w:szCs w:val="24"/>
        </w:rPr>
      </w:pPr>
    </w:p>
    <w:sdt>
      <w:sdtPr>
        <w:rPr>
          <w:rFonts w:ascii="Times New Roman" w:eastAsiaTheme="minorHAnsi" w:hAnsi="Times New Roman" w:cstheme="minorBidi"/>
          <w:color w:val="auto"/>
          <w:sz w:val="28"/>
          <w:szCs w:val="28"/>
          <w:lang w:val="lv-LV"/>
        </w:rPr>
        <w:id w:val="-1390031469"/>
        <w:docPartObj>
          <w:docPartGallery w:val="Table of Contents"/>
          <w:docPartUnique/>
        </w:docPartObj>
      </w:sdtPr>
      <w:sdtEndPr>
        <w:rPr>
          <w:noProof/>
          <w:sz w:val="24"/>
          <w:szCs w:val="22"/>
        </w:rPr>
      </w:sdtEndPr>
      <w:sdtContent>
        <w:p w14:paraId="47CC2085" w14:textId="7C2394CC" w:rsidR="00A67ADF" w:rsidRPr="007B699A" w:rsidRDefault="00A67ADF" w:rsidP="00CC4477">
          <w:pPr>
            <w:pStyle w:val="TOCHeading"/>
            <w:jc w:val="both"/>
            <w:rPr>
              <w:rFonts w:ascii="Times New Roman" w:hAnsi="Times New Roman" w:cs="Times New Roman"/>
              <w:color w:val="auto"/>
              <w:sz w:val="28"/>
              <w:szCs w:val="28"/>
            </w:rPr>
          </w:pPr>
          <w:proofErr w:type="spellStart"/>
          <w:r w:rsidRPr="007B699A">
            <w:rPr>
              <w:rFonts w:ascii="Times New Roman" w:hAnsi="Times New Roman" w:cs="Times New Roman"/>
              <w:color w:val="auto"/>
              <w:sz w:val="28"/>
              <w:szCs w:val="28"/>
            </w:rPr>
            <w:t>Satura</w:t>
          </w:r>
          <w:proofErr w:type="spellEnd"/>
          <w:r w:rsidRPr="007B699A">
            <w:rPr>
              <w:rFonts w:ascii="Times New Roman" w:hAnsi="Times New Roman" w:cs="Times New Roman"/>
              <w:color w:val="auto"/>
              <w:sz w:val="28"/>
              <w:szCs w:val="28"/>
            </w:rPr>
            <w:t xml:space="preserve"> </w:t>
          </w:r>
          <w:proofErr w:type="spellStart"/>
          <w:r w:rsidRPr="007B699A">
            <w:rPr>
              <w:rFonts w:ascii="Times New Roman" w:hAnsi="Times New Roman" w:cs="Times New Roman"/>
              <w:color w:val="auto"/>
              <w:sz w:val="28"/>
              <w:szCs w:val="28"/>
            </w:rPr>
            <w:t>rādītājs</w:t>
          </w:r>
          <w:proofErr w:type="spellEnd"/>
        </w:p>
        <w:p w14:paraId="6649B75C" w14:textId="69C7405A" w:rsidR="00A0505A" w:rsidRPr="00A0505A" w:rsidRDefault="00A67ADF">
          <w:pPr>
            <w:pStyle w:val="TOC1"/>
            <w:tabs>
              <w:tab w:val="right" w:leader="dot" w:pos="8296"/>
            </w:tabs>
            <w:rPr>
              <w:rFonts w:asciiTheme="minorHAnsi" w:eastAsiaTheme="minorEastAsia" w:hAnsiTheme="minorHAnsi"/>
              <w:noProof/>
              <w:kern w:val="2"/>
              <w:szCs w:val="24"/>
              <w:lang w:val="en-GB" w:eastAsia="en-GB"/>
              <w14:ligatures w14:val="standardContextual"/>
            </w:rPr>
          </w:pPr>
          <w:r w:rsidRPr="00A0505A">
            <w:fldChar w:fldCharType="begin"/>
          </w:r>
          <w:r w:rsidRPr="00A0505A">
            <w:instrText xml:space="preserve"> TOC \o "1-3" \h \z \u </w:instrText>
          </w:r>
          <w:r w:rsidRPr="00A0505A">
            <w:fldChar w:fldCharType="separate"/>
          </w:r>
          <w:hyperlink w:anchor="_Toc194859677" w:history="1">
            <w:r w:rsidR="00A0505A" w:rsidRPr="00A0505A">
              <w:rPr>
                <w:rStyle w:val="Hyperlink"/>
                <w:rFonts w:cs="Times New Roman"/>
                <w:noProof/>
              </w:rPr>
              <w:t>Ievads</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_Toc194859677 \h </w:instrText>
            </w:r>
            <w:r w:rsidR="00A0505A" w:rsidRPr="00A0505A">
              <w:rPr>
                <w:noProof/>
                <w:webHidden/>
              </w:rPr>
            </w:r>
            <w:r w:rsidR="00A0505A" w:rsidRPr="00A0505A">
              <w:rPr>
                <w:noProof/>
                <w:webHidden/>
              </w:rPr>
              <w:fldChar w:fldCharType="separate"/>
            </w:r>
            <w:r w:rsidR="00A0505A" w:rsidRPr="00A0505A">
              <w:rPr>
                <w:noProof/>
                <w:webHidden/>
              </w:rPr>
              <w:t>3</w:t>
            </w:r>
            <w:r w:rsidR="00A0505A" w:rsidRPr="00A0505A">
              <w:rPr>
                <w:noProof/>
                <w:webHidden/>
              </w:rPr>
              <w:fldChar w:fldCharType="end"/>
            </w:r>
          </w:hyperlink>
        </w:p>
        <w:p w14:paraId="350C4094" w14:textId="530958EE" w:rsidR="00A0505A" w:rsidRPr="00A0505A" w:rsidRDefault="007B699A">
          <w:pPr>
            <w:pStyle w:val="TOC1"/>
            <w:tabs>
              <w:tab w:val="left" w:pos="480"/>
              <w:tab w:val="right" w:leader="dot" w:pos="8296"/>
            </w:tabs>
            <w:rPr>
              <w:rFonts w:asciiTheme="minorHAnsi" w:eastAsiaTheme="minorEastAsia" w:hAnsiTheme="minorHAnsi"/>
              <w:noProof/>
              <w:kern w:val="2"/>
              <w:szCs w:val="24"/>
              <w:lang w:val="en-GB" w:eastAsia="en-GB"/>
              <w14:ligatures w14:val="standardContextual"/>
            </w:rPr>
          </w:pPr>
          <w:hyperlink w:anchor="_Toc194859678" w:history="1">
            <w:r w:rsidR="00A0505A" w:rsidRPr="00A0505A">
              <w:rPr>
                <w:rStyle w:val="Hyperlink"/>
                <w:rFonts w:cs="Times New Roman"/>
                <w:noProof/>
              </w:rPr>
              <w:t>1.</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Pieaugušo izglītības teorētiskie aspekti</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_Toc194859678 \h </w:instrText>
            </w:r>
            <w:r w:rsidR="00A0505A" w:rsidRPr="00A0505A">
              <w:rPr>
                <w:noProof/>
                <w:webHidden/>
              </w:rPr>
            </w:r>
            <w:r w:rsidR="00A0505A" w:rsidRPr="00A0505A">
              <w:rPr>
                <w:noProof/>
                <w:webHidden/>
              </w:rPr>
              <w:fldChar w:fldCharType="separate"/>
            </w:r>
            <w:r w:rsidR="00A0505A" w:rsidRPr="00A0505A">
              <w:rPr>
                <w:noProof/>
                <w:webHidden/>
              </w:rPr>
              <w:t>4</w:t>
            </w:r>
            <w:r w:rsidR="00A0505A" w:rsidRPr="00A0505A">
              <w:rPr>
                <w:noProof/>
                <w:webHidden/>
              </w:rPr>
              <w:fldChar w:fldCharType="end"/>
            </w:r>
          </w:hyperlink>
        </w:p>
        <w:p w14:paraId="321646C8" w14:textId="132F64B6" w:rsidR="00A0505A" w:rsidRPr="00A0505A" w:rsidRDefault="007B699A">
          <w:pPr>
            <w:pStyle w:val="TOC2"/>
            <w:tabs>
              <w:tab w:val="left" w:pos="960"/>
              <w:tab w:val="right" w:leader="dot" w:pos="8296"/>
            </w:tabs>
            <w:rPr>
              <w:rFonts w:asciiTheme="minorHAnsi" w:eastAsiaTheme="minorEastAsia" w:hAnsiTheme="minorHAnsi"/>
              <w:noProof/>
              <w:kern w:val="2"/>
              <w:szCs w:val="24"/>
              <w:lang w:val="en-GB" w:eastAsia="en-GB"/>
              <w14:ligatures w14:val="standardContextual"/>
            </w:rPr>
          </w:pPr>
          <w:hyperlink w:anchor="_Toc194859679" w:history="1">
            <w:r w:rsidR="00A0505A" w:rsidRPr="00A0505A">
              <w:rPr>
                <w:rStyle w:val="Hyperlink"/>
                <w:rFonts w:cs="Times New Roman"/>
                <w:noProof/>
              </w:rPr>
              <w:t>1.1.</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Pieaugušo izglītības nozīme un īpatnības</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_Toc194859679 \h </w:instrText>
            </w:r>
            <w:r w:rsidR="00A0505A" w:rsidRPr="00A0505A">
              <w:rPr>
                <w:noProof/>
                <w:webHidden/>
              </w:rPr>
            </w:r>
            <w:r w:rsidR="00A0505A" w:rsidRPr="00A0505A">
              <w:rPr>
                <w:noProof/>
                <w:webHidden/>
              </w:rPr>
              <w:fldChar w:fldCharType="separate"/>
            </w:r>
            <w:r w:rsidR="00A0505A" w:rsidRPr="00A0505A">
              <w:rPr>
                <w:noProof/>
                <w:webHidden/>
              </w:rPr>
              <w:t>4</w:t>
            </w:r>
            <w:r w:rsidR="00A0505A" w:rsidRPr="00A0505A">
              <w:rPr>
                <w:noProof/>
                <w:webHidden/>
              </w:rPr>
              <w:fldChar w:fldCharType="end"/>
            </w:r>
          </w:hyperlink>
        </w:p>
        <w:p w14:paraId="1BA63868" w14:textId="609BFDF2" w:rsidR="00A0505A" w:rsidRPr="00A0505A" w:rsidRDefault="007B699A">
          <w:pPr>
            <w:pStyle w:val="TOC2"/>
            <w:tabs>
              <w:tab w:val="left" w:pos="960"/>
              <w:tab w:val="right" w:leader="dot" w:pos="8296"/>
            </w:tabs>
            <w:rPr>
              <w:rFonts w:asciiTheme="minorHAnsi" w:eastAsiaTheme="minorEastAsia" w:hAnsiTheme="minorHAnsi"/>
              <w:noProof/>
              <w:kern w:val="2"/>
              <w:szCs w:val="24"/>
              <w:lang w:val="en-GB" w:eastAsia="en-GB"/>
              <w14:ligatures w14:val="standardContextual"/>
            </w:rPr>
          </w:pPr>
          <w:hyperlink w:anchor="_Toc194859680" w:history="1">
            <w:r w:rsidR="00A0505A" w:rsidRPr="00A0505A">
              <w:rPr>
                <w:rStyle w:val="Hyperlink"/>
                <w:rFonts w:cs="Times New Roman"/>
                <w:noProof/>
              </w:rPr>
              <w:t>1.2.</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Starptautiskās mobilitātes ietekme uz pieaugušo izglītību</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_Toc194859680 \h </w:instrText>
            </w:r>
            <w:r w:rsidR="00A0505A" w:rsidRPr="00A0505A">
              <w:rPr>
                <w:noProof/>
                <w:webHidden/>
              </w:rPr>
            </w:r>
            <w:r w:rsidR="00A0505A" w:rsidRPr="00A0505A">
              <w:rPr>
                <w:noProof/>
                <w:webHidden/>
              </w:rPr>
              <w:fldChar w:fldCharType="separate"/>
            </w:r>
            <w:r w:rsidR="00A0505A" w:rsidRPr="00A0505A">
              <w:rPr>
                <w:noProof/>
                <w:webHidden/>
              </w:rPr>
              <w:t>5</w:t>
            </w:r>
            <w:r w:rsidR="00A0505A" w:rsidRPr="00A0505A">
              <w:rPr>
                <w:noProof/>
                <w:webHidden/>
              </w:rPr>
              <w:fldChar w:fldCharType="end"/>
            </w:r>
          </w:hyperlink>
        </w:p>
        <w:p w14:paraId="52CEA7C6" w14:textId="511929F7" w:rsidR="00A0505A" w:rsidRPr="00A0505A" w:rsidRDefault="007B699A">
          <w:pPr>
            <w:pStyle w:val="TOC1"/>
            <w:tabs>
              <w:tab w:val="left" w:pos="480"/>
              <w:tab w:val="right" w:leader="dot" w:pos="8296"/>
            </w:tabs>
            <w:rPr>
              <w:rFonts w:asciiTheme="minorHAnsi" w:eastAsiaTheme="minorEastAsia" w:hAnsiTheme="minorHAnsi"/>
              <w:noProof/>
              <w:kern w:val="2"/>
              <w:szCs w:val="24"/>
              <w:lang w:val="en-GB" w:eastAsia="en-GB"/>
              <w14:ligatures w14:val="standardContextual"/>
            </w:rPr>
          </w:pPr>
          <w:hyperlink w:anchor="_Toc194859681" w:history="1">
            <w:r w:rsidR="00A0505A" w:rsidRPr="00A0505A">
              <w:rPr>
                <w:rStyle w:val="Hyperlink"/>
                <w:rFonts w:cs="Times New Roman"/>
                <w:noProof/>
              </w:rPr>
              <w:t>2.</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Starptautiskā vide kā mācību procesa ietekmējošs faktors</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_Toc194859681 \h </w:instrText>
            </w:r>
            <w:r w:rsidR="00A0505A" w:rsidRPr="00A0505A">
              <w:rPr>
                <w:noProof/>
                <w:webHidden/>
              </w:rPr>
            </w:r>
            <w:r w:rsidR="00A0505A" w:rsidRPr="00A0505A">
              <w:rPr>
                <w:noProof/>
                <w:webHidden/>
              </w:rPr>
              <w:fldChar w:fldCharType="separate"/>
            </w:r>
            <w:r w:rsidR="00A0505A" w:rsidRPr="00A0505A">
              <w:rPr>
                <w:noProof/>
                <w:webHidden/>
              </w:rPr>
              <w:t>6</w:t>
            </w:r>
            <w:r w:rsidR="00A0505A" w:rsidRPr="00A0505A">
              <w:rPr>
                <w:noProof/>
                <w:webHidden/>
              </w:rPr>
              <w:fldChar w:fldCharType="end"/>
            </w:r>
          </w:hyperlink>
        </w:p>
        <w:p w14:paraId="5D074765" w14:textId="6FEB8B32" w:rsidR="00A0505A" w:rsidRPr="00A0505A" w:rsidRDefault="007B699A">
          <w:pPr>
            <w:pStyle w:val="TOC2"/>
            <w:tabs>
              <w:tab w:val="right" w:leader="dot" w:pos="8296"/>
            </w:tabs>
            <w:rPr>
              <w:rFonts w:asciiTheme="minorHAnsi" w:eastAsiaTheme="minorEastAsia" w:hAnsiTheme="minorHAnsi"/>
              <w:noProof/>
              <w:kern w:val="2"/>
              <w:szCs w:val="24"/>
              <w:lang w:val="en-GB" w:eastAsia="en-GB"/>
              <w14:ligatures w14:val="standardContextual"/>
            </w:rPr>
          </w:pPr>
          <w:hyperlink w:anchor="_Toc194859682" w:history="1">
            <w:r w:rsidR="00A0505A" w:rsidRPr="00A0505A">
              <w:rPr>
                <w:rStyle w:val="Hyperlink"/>
                <w:rFonts w:cs="Times New Roman"/>
                <w:noProof/>
              </w:rPr>
              <w:t>2.1. Multikulturāla vide un mācību metožu pielāgošana</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_Toc194859682 \h </w:instrText>
            </w:r>
            <w:r w:rsidR="00A0505A" w:rsidRPr="00A0505A">
              <w:rPr>
                <w:noProof/>
                <w:webHidden/>
              </w:rPr>
            </w:r>
            <w:r w:rsidR="00A0505A" w:rsidRPr="00A0505A">
              <w:rPr>
                <w:noProof/>
                <w:webHidden/>
              </w:rPr>
              <w:fldChar w:fldCharType="separate"/>
            </w:r>
            <w:r w:rsidR="00A0505A" w:rsidRPr="00A0505A">
              <w:rPr>
                <w:noProof/>
                <w:webHidden/>
              </w:rPr>
              <w:t>6</w:t>
            </w:r>
            <w:r w:rsidR="00A0505A" w:rsidRPr="00A0505A">
              <w:rPr>
                <w:noProof/>
                <w:webHidden/>
              </w:rPr>
              <w:fldChar w:fldCharType="end"/>
            </w:r>
          </w:hyperlink>
        </w:p>
        <w:p w14:paraId="7B4AE02E" w14:textId="7C9A2B0E" w:rsidR="00A0505A" w:rsidRPr="00A0505A" w:rsidRDefault="007B699A">
          <w:pPr>
            <w:pStyle w:val="TOC2"/>
            <w:tabs>
              <w:tab w:val="left" w:pos="960"/>
              <w:tab w:val="right" w:leader="dot" w:pos="8296"/>
            </w:tabs>
            <w:rPr>
              <w:rFonts w:asciiTheme="minorHAnsi" w:eastAsiaTheme="minorEastAsia" w:hAnsiTheme="minorHAnsi"/>
              <w:noProof/>
              <w:kern w:val="2"/>
              <w:szCs w:val="24"/>
              <w:lang w:val="en-GB" w:eastAsia="en-GB"/>
              <w14:ligatures w14:val="standardContextual"/>
            </w:rPr>
          </w:pPr>
          <w:hyperlink w:anchor="_Toc194859683" w:history="1">
            <w:r w:rsidR="00A0505A" w:rsidRPr="00A0505A">
              <w:rPr>
                <w:rStyle w:val="Hyperlink"/>
                <w:rFonts w:cs="Times New Roman"/>
                <w:noProof/>
              </w:rPr>
              <w:t>2.2.</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Valodas un kultūras barjeras</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_Toc194859683 \h </w:instrText>
            </w:r>
            <w:r w:rsidR="00A0505A" w:rsidRPr="00A0505A">
              <w:rPr>
                <w:noProof/>
                <w:webHidden/>
              </w:rPr>
            </w:r>
            <w:r w:rsidR="00A0505A" w:rsidRPr="00A0505A">
              <w:rPr>
                <w:noProof/>
                <w:webHidden/>
              </w:rPr>
              <w:fldChar w:fldCharType="separate"/>
            </w:r>
            <w:r w:rsidR="00A0505A" w:rsidRPr="00A0505A">
              <w:rPr>
                <w:noProof/>
                <w:webHidden/>
              </w:rPr>
              <w:t>6</w:t>
            </w:r>
            <w:r w:rsidR="00A0505A" w:rsidRPr="00A0505A">
              <w:rPr>
                <w:noProof/>
                <w:webHidden/>
              </w:rPr>
              <w:fldChar w:fldCharType="end"/>
            </w:r>
          </w:hyperlink>
        </w:p>
        <w:p w14:paraId="02873389" w14:textId="75E13E87" w:rsidR="00A0505A" w:rsidRPr="00A0505A" w:rsidRDefault="007B699A">
          <w:pPr>
            <w:pStyle w:val="TOC2"/>
            <w:tabs>
              <w:tab w:val="left" w:pos="960"/>
              <w:tab w:val="right" w:leader="dot" w:pos="8296"/>
            </w:tabs>
            <w:rPr>
              <w:rFonts w:asciiTheme="minorHAnsi" w:eastAsiaTheme="minorEastAsia" w:hAnsiTheme="minorHAnsi"/>
              <w:noProof/>
              <w:kern w:val="2"/>
              <w:szCs w:val="24"/>
              <w:lang w:val="en-GB" w:eastAsia="en-GB"/>
              <w14:ligatures w14:val="standardContextual"/>
            </w:rPr>
          </w:pPr>
          <w:hyperlink w:anchor="_Toc194859684" w:history="1">
            <w:r w:rsidR="00A0505A" w:rsidRPr="00A0505A">
              <w:rPr>
                <w:rStyle w:val="Hyperlink"/>
                <w:rFonts w:cs="Times New Roman"/>
                <w:noProof/>
              </w:rPr>
              <w:t>2.3.</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Jaunu kompetenču un prasmju attīstība starptautiskā kontekstā</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_Toc194859684 \h </w:instrText>
            </w:r>
            <w:r w:rsidR="00A0505A" w:rsidRPr="00A0505A">
              <w:rPr>
                <w:noProof/>
                <w:webHidden/>
              </w:rPr>
            </w:r>
            <w:r w:rsidR="00A0505A" w:rsidRPr="00A0505A">
              <w:rPr>
                <w:noProof/>
                <w:webHidden/>
              </w:rPr>
              <w:fldChar w:fldCharType="separate"/>
            </w:r>
            <w:r w:rsidR="00A0505A" w:rsidRPr="00A0505A">
              <w:rPr>
                <w:noProof/>
                <w:webHidden/>
              </w:rPr>
              <w:t>6</w:t>
            </w:r>
            <w:r w:rsidR="00A0505A" w:rsidRPr="00A0505A">
              <w:rPr>
                <w:noProof/>
                <w:webHidden/>
              </w:rPr>
              <w:fldChar w:fldCharType="end"/>
            </w:r>
          </w:hyperlink>
        </w:p>
        <w:p w14:paraId="17D0B4C3" w14:textId="1211099F" w:rsidR="00A0505A" w:rsidRPr="00A0505A" w:rsidRDefault="007B699A">
          <w:pPr>
            <w:pStyle w:val="TOC1"/>
            <w:tabs>
              <w:tab w:val="left" w:pos="480"/>
              <w:tab w:val="right" w:leader="dot" w:pos="8296"/>
            </w:tabs>
            <w:rPr>
              <w:rFonts w:asciiTheme="minorHAnsi" w:eastAsiaTheme="minorEastAsia" w:hAnsiTheme="minorHAnsi"/>
              <w:noProof/>
              <w:kern w:val="2"/>
              <w:szCs w:val="24"/>
              <w:lang w:val="en-GB" w:eastAsia="en-GB"/>
              <w14:ligatures w14:val="standardContextual"/>
            </w:rPr>
          </w:pPr>
          <w:hyperlink w:anchor="_Toc194859685" w:history="1">
            <w:r w:rsidR="00A0505A" w:rsidRPr="00A0505A">
              <w:rPr>
                <w:rStyle w:val="Hyperlink"/>
                <w:rFonts w:cs="Times New Roman"/>
                <w:noProof/>
              </w:rPr>
              <w:t>3.</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Latvijas Nacionālās bibliotēkas “Bibliotēku, informācijas un arhīvu zinības” programma starptautiskajā kontekstā</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_Toc194859685 \h </w:instrText>
            </w:r>
            <w:r w:rsidR="00A0505A" w:rsidRPr="00A0505A">
              <w:rPr>
                <w:noProof/>
                <w:webHidden/>
              </w:rPr>
            </w:r>
            <w:r w:rsidR="00A0505A" w:rsidRPr="00A0505A">
              <w:rPr>
                <w:noProof/>
                <w:webHidden/>
              </w:rPr>
              <w:fldChar w:fldCharType="separate"/>
            </w:r>
            <w:r w:rsidR="00A0505A" w:rsidRPr="00A0505A">
              <w:rPr>
                <w:noProof/>
                <w:webHidden/>
              </w:rPr>
              <w:t>7</w:t>
            </w:r>
            <w:r w:rsidR="00A0505A" w:rsidRPr="00A0505A">
              <w:rPr>
                <w:noProof/>
                <w:webHidden/>
              </w:rPr>
              <w:fldChar w:fldCharType="end"/>
            </w:r>
          </w:hyperlink>
        </w:p>
        <w:p w14:paraId="3CB353D7" w14:textId="4B4D49E8" w:rsidR="00A0505A" w:rsidRPr="00A0505A" w:rsidRDefault="007B699A">
          <w:pPr>
            <w:pStyle w:val="TOC1"/>
            <w:tabs>
              <w:tab w:val="left" w:pos="480"/>
              <w:tab w:val="right" w:leader="dot" w:pos="8296"/>
            </w:tabs>
            <w:rPr>
              <w:rFonts w:asciiTheme="minorHAnsi" w:eastAsiaTheme="minorEastAsia" w:hAnsiTheme="minorHAnsi"/>
              <w:noProof/>
              <w:kern w:val="2"/>
              <w:szCs w:val="24"/>
              <w:lang w:val="en-GB" w:eastAsia="en-GB"/>
              <w14:ligatures w14:val="standardContextual"/>
            </w:rPr>
          </w:pPr>
          <w:hyperlink w:anchor="_Toc194859686" w:history="1">
            <w:r w:rsidR="00A0505A" w:rsidRPr="00A0505A">
              <w:rPr>
                <w:rStyle w:val="Hyperlink"/>
                <w:rFonts w:cs="Times New Roman"/>
                <w:noProof/>
              </w:rPr>
              <w:t>4.</w:t>
            </w:r>
            <w:r w:rsidR="00A0505A" w:rsidRPr="00A0505A">
              <w:rPr>
                <w:rFonts w:asciiTheme="minorHAnsi" w:eastAsiaTheme="minorEastAsia" w:hAnsiTheme="minorHAnsi"/>
                <w:noProof/>
                <w:kern w:val="2"/>
                <w:szCs w:val="24"/>
                <w:lang w:val="en-GB" w:eastAsia="en-GB"/>
                <w14:ligatures w14:val="standardContextual"/>
              </w:rPr>
              <w:tab/>
            </w:r>
            <w:r w:rsidR="00A0505A" w:rsidRPr="00A0505A">
              <w:rPr>
                <w:rStyle w:val="Hyperlink"/>
                <w:rFonts w:cs="Times New Roman"/>
                <w:noProof/>
              </w:rPr>
              <w:t>Gadījuma pētījums – mobilitāte Rumānijas Nacionālajā bibliotēkā</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_Toc194859686 \h </w:instrText>
            </w:r>
            <w:r w:rsidR="00A0505A" w:rsidRPr="00A0505A">
              <w:rPr>
                <w:noProof/>
                <w:webHidden/>
              </w:rPr>
            </w:r>
            <w:r w:rsidR="00A0505A" w:rsidRPr="00A0505A">
              <w:rPr>
                <w:noProof/>
                <w:webHidden/>
              </w:rPr>
              <w:fldChar w:fldCharType="separate"/>
            </w:r>
            <w:r w:rsidR="00A0505A" w:rsidRPr="00A0505A">
              <w:rPr>
                <w:noProof/>
                <w:webHidden/>
              </w:rPr>
              <w:t>8</w:t>
            </w:r>
            <w:r w:rsidR="00A0505A" w:rsidRPr="00A0505A">
              <w:rPr>
                <w:noProof/>
                <w:webHidden/>
              </w:rPr>
              <w:fldChar w:fldCharType="end"/>
            </w:r>
          </w:hyperlink>
        </w:p>
        <w:p w14:paraId="46A43606" w14:textId="11B5D831" w:rsidR="00A0505A" w:rsidRPr="00A0505A" w:rsidRDefault="007B699A">
          <w:pPr>
            <w:pStyle w:val="TOC1"/>
            <w:tabs>
              <w:tab w:val="right" w:leader="dot" w:pos="8296"/>
            </w:tabs>
            <w:rPr>
              <w:rFonts w:asciiTheme="minorHAnsi" w:eastAsiaTheme="minorEastAsia" w:hAnsiTheme="minorHAnsi"/>
              <w:noProof/>
              <w:kern w:val="2"/>
              <w:szCs w:val="24"/>
              <w:lang w:val="en-GB" w:eastAsia="en-GB"/>
              <w14:ligatures w14:val="standardContextual"/>
            </w:rPr>
          </w:pPr>
          <w:hyperlink w:anchor="_Toc194859687" w:history="1">
            <w:r w:rsidR="00A0505A" w:rsidRPr="00A0505A">
              <w:rPr>
                <w:rStyle w:val="Hyperlink"/>
                <w:rFonts w:cs="Times New Roman"/>
                <w:noProof/>
              </w:rPr>
              <w:t>Secinājumi</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_Toc194859687 \h </w:instrText>
            </w:r>
            <w:r w:rsidR="00A0505A" w:rsidRPr="00A0505A">
              <w:rPr>
                <w:noProof/>
                <w:webHidden/>
              </w:rPr>
            </w:r>
            <w:r w:rsidR="00A0505A" w:rsidRPr="00A0505A">
              <w:rPr>
                <w:noProof/>
                <w:webHidden/>
              </w:rPr>
              <w:fldChar w:fldCharType="separate"/>
            </w:r>
            <w:r w:rsidR="00A0505A" w:rsidRPr="00A0505A">
              <w:rPr>
                <w:noProof/>
                <w:webHidden/>
              </w:rPr>
              <w:t>10</w:t>
            </w:r>
            <w:r w:rsidR="00A0505A" w:rsidRPr="00A0505A">
              <w:rPr>
                <w:noProof/>
                <w:webHidden/>
              </w:rPr>
              <w:fldChar w:fldCharType="end"/>
            </w:r>
          </w:hyperlink>
        </w:p>
        <w:p w14:paraId="24B952A2" w14:textId="03E2FDDB" w:rsidR="00A0505A" w:rsidRPr="00A0505A" w:rsidRDefault="007B699A">
          <w:pPr>
            <w:pStyle w:val="TOC1"/>
            <w:tabs>
              <w:tab w:val="right" w:leader="dot" w:pos="8296"/>
            </w:tabs>
            <w:rPr>
              <w:rFonts w:asciiTheme="minorHAnsi" w:eastAsiaTheme="minorEastAsia" w:hAnsiTheme="minorHAnsi"/>
              <w:noProof/>
              <w:kern w:val="2"/>
              <w:szCs w:val="24"/>
              <w:lang w:val="en-GB" w:eastAsia="en-GB"/>
              <w14:ligatures w14:val="standardContextual"/>
            </w:rPr>
          </w:pPr>
          <w:hyperlink w:anchor="_Toc194859688" w:history="1">
            <w:r w:rsidR="00A0505A" w:rsidRPr="00A0505A">
              <w:rPr>
                <w:rStyle w:val="Hyperlink"/>
                <w:rFonts w:cs="Times New Roman"/>
                <w:noProof/>
              </w:rPr>
              <w:t>Izmantotā literatūra</w:t>
            </w:r>
            <w:r w:rsidR="00A0505A" w:rsidRPr="00A0505A">
              <w:rPr>
                <w:noProof/>
                <w:webHidden/>
              </w:rPr>
              <w:tab/>
            </w:r>
            <w:r w:rsidR="00A0505A" w:rsidRPr="00A0505A">
              <w:rPr>
                <w:noProof/>
                <w:webHidden/>
              </w:rPr>
              <w:fldChar w:fldCharType="begin"/>
            </w:r>
            <w:r w:rsidR="00A0505A" w:rsidRPr="00A0505A">
              <w:rPr>
                <w:noProof/>
                <w:webHidden/>
              </w:rPr>
              <w:instrText xml:space="preserve"> PAGEREF _Toc194859688 \h </w:instrText>
            </w:r>
            <w:r w:rsidR="00A0505A" w:rsidRPr="00A0505A">
              <w:rPr>
                <w:noProof/>
                <w:webHidden/>
              </w:rPr>
            </w:r>
            <w:r w:rsidR="00A0505A" w:rsidRPr="00A0505A">
              <w:rPr>
                <w:noProof/>
                <w:webHidden/>
              </w:rPr>
              <w:fldChar w:fldCharType="separate"/>
            </w:r>
            <w:r w:rsidR="00A0505A" w:rsidRPr="00A0505A">
              <w:rPr>
                <w:noProof/>
                <w:webHidden/>
              </w:rPr>
              <w:t>11</w:t>
            </w:r>
            <w:r w:rsidR="00A0505A" w:rsidRPr="00A0505A">
              <w:rPr>
                <w:noProof/>
                <w:webHidden/>
              </w:rPr>
              <w:fldChar w:fldCharType="end"/>
            </w:r>
          </w:hyperlink>
        </w:p>
        <w:p w14:paraId="7D0857D2" w14:textId="74A3CB25" w:rsidR="00A67ADF" w:rsidRPr="00A0505A" w:rsidRDefault="00A67ADF" w:rsidP="00CC4477">
          <w:pPr>
            <w:jc w:val="both"/>
          </w:pPr>
          <w:r w:rsidRPr="00A0505A">
            <w:rPr>
              <w:noProof/>
            </w:rPr>
            <w:fldChar w:fldCharType="end"/>
          </w:r>
        </w:p>
      </w:sdtContent>
    </w:sdt>
    <w:p w14:paraId="6EBB0322" w14:textId="61498461" w:rsidR="00A67ADF" w:rsidRDefault="00A67ADF" w:rsidP="00CC4477">
      <w:pPr>
        <w:jc w:val="both"/>
        <w:rPr>
          <w:b/>
          <w:bCs/>
          <w:sz w:val="28"/>
          <w:szCs w:val="24"/>
        </w:rPr>
      </w:pPr>
      <w:r>
        <w:rPr>
          <w:b/>
          <w:bCs/>
          <w:sz w:val="28"/>
          <w:szCs w:val="24"/>
        </w:rPr>
        <w:br w:type="page"/>
      </w:r>
    </w:p>
    <w:p w14:paraId="5C6856B4" w14:textId="77777777" w:rsidR="00A67ADF" w:rsidRDefault="00A67ADF" w:rsidP="00CC4477">
      <w:pPr>
        <w:jc w:val="both"/>
        <w:rPr>
          <w:b/>
          <w:bCs/>
          <w:sz w:val="28"/>
          <w:szCs w:val="24"/>
        </w:rPr>
      </w:pPr>
    </w:p>
    <w:p w14:paraId="6542E2E2" w14:textId="6BF69B91" w:rsidR="00F572A6" w:rsidRPr="00A67ADF" w:rsidRDefault="00F572A6" w:rsidP="00CC4477">
      <w:pPr>
        <w:pStyle w:val="Heading1"/>
        <w:jc w:val="both"/>
        <w:rPr>
          <w:rFonts w:ascii="Times New Roman" w:hAnsi="Times New Roman" w:cs="Times New Roman"/>
          <w:b/>
          <w:bCs/>
          <w:color w:val="auto"/>
          <w:sz w:val="28"/>
          <w:szCs w:val="28"/>
        </w:rPr>
      </w:pPr>
      <w:bookmarkStart w:id="1" w:name="_Toc194859677"/>
      <w:r w:rsidRPr="00A67ADF">
        <w:rPr>
          <w:rFonts w:ascii="Times New Roman" w:hAnsi="Times New Roman" w:cs="Times New Roman"/>
          <w:b/>
          <w:bCs/>
          <w:color w:val="auto"/>
          <w:sz w:val="28"/>
          <w:szCs w:val="28"/>
        </w:rPr>
        <w:t>Ievads</w:t>
      </w:r>
      <w:bookmarkEnd w:id="1"/>
    </w:p>
    <w:p w14:paraId="6895A510" w14:textId="77777777" w:rsidR="00A30848" w:rsidRDefault="00A30848" w:rsidP="00CC4477">
      <w:pPr>
        <w:jc w:val="both"/>
        <w:rPr>
          <w:b/>
          <w:bCs/>
          <w:sz w:val="28"/>
          <w:szCs w:val="24"/>
        </w:rPr>
      </w:pPr>
    </w:p>
    <w:p w14:paraId="356322BC" w14:textId="2D8D2C60" w:rsidR="00A30848" w:rsidRPr="00A30848" w:rsidRDefault="00A30848" w:rsidP="00CC4477">
      <w:pPr>
        <w:spacing w:line="360" w:lineRule="auto"/>
        <w:ind w:firstLine="720"/>
        <w:jc w:val="both"/>
      </w:pPr>
      <w:r w:rsidRPr="00A30848">
        <w:t>Mūsdienu globalizētajā pasaulē izglītība arvien vairāk kļūst par starptautisku pieredzi, kas ietekmē gan mācību saturu, gan procesus un gala rezultātus. Pieaugušo izglītība šajā kontekstā iegūst īpašu nozīmi, jo tā saistīta ar nepārtrauktu profesionālo attīstību un jaunu prasmju apguvi starptautiskā vidē. Latvijas Nacionālās bibliotēkas (LNB) profesionālās pilnveides programma "Bibliotēku, informācijas un arhīvu zinības" ir nozīmīgs piemērs, kā starptautiska mobilitāte un sadarbība veido pieaugušo izglītības pieredzi un ietekmē tās norisi.</w:t>
      </w:r>
    </w:p>
    <w:p w14:paraId="0890931B" w14:textId="6A2EFA02" w:rsidR="00A30848" w:rsidRPr="00A30848" w:rsidRDefault="00A30848" w:rsidP="00CC4477">
      <w:pPr>
        <w:spacing w:line="360" w:lineRule="auto"/>
        <w:ind w:firstLine="720"/>
        <w:jc w:val="both"/>
      </w:pPr>
      <w:r w:rsidRPr="00A30848">
        <w:t xml:space="preserve">Šī pētījuma mērķis ir izpētīt mācību procesu īpatnības, izaicinājumus un ieguvumus, kas saistīti ar pieaugušo izglītojamo starptautisko mobilitāti LNB programmas ietvaros. </w:t>
      </w:r>
      <w:r w:rsidR="00D04080">
        <w:t>Ar klātienes novērojuma metodi t</w:t>
      </w:r>
      <w:r w:rsidRPr="00A30848">
        <w:t>iks analizēts, kā starptautiska vide ietekmē mācību metodes, dalībnieku motivāciju un mācību rezultātus, kā arī tiks izvērtētas iespējamās rekomendācijas turpmākai izglītības programmu attīstībai.</w:t>
      </w:r>
    </w:p>
    <w:p w14:paraId="10F8E007" w14:textId="7761C9BE" w:rsidR="00A30848" w:rsidRPr="00A30848" w:rsidRDefault="00A30848" w:rsidP="00CC4477">
      <w:pPr>
        <w:spacing w:line="360" w:lineRule="auto"/>
        <w:ind w:firstLine="720"/>
        <w:jc w:val="both"/>
      </w:pPr>
      <w:r w:rsidRPr="00A30848">
        <w:t>Pētījum</w:t>
      </w:r>
      <w:r w:rsidR="00D04080">
        <w:t>ā tiek</w:t>
      </w:r>
      <w:r w:rsidRPr="00A30848">
        <w:t xml:space="preserve"> </w:t>
      </w:r>
      <w:r w:rsidR="00D04080">
        <w:t xml:space="preserve">rasta atbilde uz jautājumu </w:t>
      </w:r>
      <w:r w:rsidRPr="00A30848">
        <w:t xml:space="preserve"> kā pieaugušo izglītība</w:t>
      </w:r>
      <w:r w:rsidR="00D04080">
        <w:t>s kvalitāte mainās globālās mijiedarbības kontekstā?</w:t>
      </w:r>
      <w:r w:rsidRPr="00A30848">
        <w:t xml:space="preserve"> Starptautiskā mobilitāte ne tikai nodrošina jaunas zināšanas un prakses, bet arī rada izaicinājumus, kas saistīti ar kultūras atšķirībām, valodas barjerām un pielāgošanos dažādām izglītības pieejām.</w:t>
      </w:r>
    </w:p>
    <w:p w14:paraId="6E68516A" w14:textId="560B3D65" w:rsidR="00A67ADF" w:rsidRDefault="00A30848" w:rsidP="00CC4477">
      <w:pPr>
        <w:spacing w:line="360" w:lineRule="auto"/>
        <w:ind w:firstLine="720"/>
        <w:jc w:val="both"/>
      </w:pPr>
      <w:r w:rsidRPr="00A30848">
        <w:t xml:space="preserve">Lai sasniegtu pētījuma mērķi, tiks izmantota </w:t>
      </w:r>
      <w:r w:rsidR="00A67ADF">
        <w:t>novērojuma</w:t>
      </w:r>
      <w:r w:rsidRPr="00A30848">
        <w:t xml:space="preserve"> metode, kas ļaus detalizēti izpētīt LNB programmas dalībnieku pieredzi, viņu attieksmi pret starptautisko vidi un tās ietekmi uz mācību procesu. Analīzes rezultāti var sniegt vērtīgu ieguldījumu pieaugušo izglītības un starptautisko mācību mobilitāšu efektivitātes izvērtēšanā un uzlabošanā.</w:t>
      </w:r>
    </w:p>
    <w:p w14:paraId="083F2FA6" w14:textId="77777777" w:rsidR="00A67ADF" w:rsidRDefault="00A67ADF" w:rsidP="00CC4477">
      <w:pPr>
        <w:jc w:val="both"/>
      </w:pPr>
      <w:r>
        <w:br w:type="page"/>
      </w:r>
    </w:p>
    <w:p w14:paraId="1F2E80AD" w14:textId="07F360EE" w:rsidR="00F572A6" w:rsidRPr="00CC4477" w:rsidRDefault="00A67ADF" w:rsidP="00CC4477">
      <w:pPr>
        <w:pStyle w:val="Heading1"/>
        <w:numPr>
          <w:ilvl w:val="0"/>
          <w:numId w:val="1"/>
        </w:numPr>
        <w:jc w:val="both"/>
        <w:rPr>
          <w:rFonts w:ascii="Times New Roman" w:hAnsi="Times New Roman" w:cs="Times New Roman"/>
          <w:b/>
          <w:bCs/>
          <w:color w:val="auto"/>
          <w:sz w:val="28"/>
          <w:szCs w:val="28"/>
        </w:rPr>
      </w:pPr>
      <w:bookmarkStart w:id="2" w:name="_Toc194859678"/>
      <w:r w:rsidRPr="00CC4477">
        <w:rPr>
          <w:rFonts w:ascii="Times New Roman" w:hAnsi="Times New Roman" w:cs="Times New Roman"/>
          <w:b/>
          <w:bCs/>
          <w:color w:val="auto"/>
          <w:sz w:val="28"/>
          <w:szCs w:val="28"/>
        </w:rPr>
        <w:lastRenderedPageBreak/>
        <w:t>Pieaugušo izglītības teorētiskie aspekti</w:t>
      </w:r>
      <w:bookmarkEnd w:id="2"/>
    </w:p>
    <w:p w14:paraId="36EB61D3" w14:textId="5B00C6A4" w:rsidR="00A67ADF" w:rsidRPr="00CC4477" w:rsidRDefault="00A67ADF" w:rsidP="00CC4477">
      <w:pPr>
        <w:pStyle w:val="Heading2"/>
        <w:numPr>
          <w:ilvl w:val="1"/>
          <w:numId w:val="1"/>
        </w:numPr>
        <w:jc w:val="both"/>
        <w:rPr>
          <w:rFonts w:ascii="Times New Roman" w:hAnsi="Times New Roman" w:cs="Times New Roman"/>
          <w:b/>
          <w:bCs/>
          <w:color w:val="auto"/>
          <w:sz w:val="24"/>
          <w:szCs w:val="24"/>
        </w:rPr>
      </w:pPr>
      <w:bookmarkStart w:id="3" w:name="_Toc194859679"/>
      <w:r w:rsidRPr="00CC4477">
        <w:rPr>
          <w:rFonts w:ascii="Times New Roman" w:hAnsi="Times New Roman" w:cs="Times New Roman"/>
          <w:b/>
          <w:bCs/>
          <w:color w:val="auto"/>
          <w:sz w:val="24"/>
          <w:szCs w:val="24"/>
        </w:rPr>
        <w:t>Pieaugušo izglītības nozīme un īpatnības</w:t>
      </w:r>
      <w:bookmarkEnd w:id="3"/>
    </w:p>
    <w:p w14:paraId="691C2AEB" w14:textId="77777777" w:rsidR="00A67ADF" w:rsidRDefault="00A67ADF" w:rsidP="00CC4477">
      <w:pPr>
        <w:jc w:val="both"/>
      </w:pPr>
    </w:p>
    <w:p w14:paraId="61CC9F2A" w14:textId="736A1BA8" w:rsidR="00C11096" w:rsidRDefault="00A67ADF" w:rsidP="00CC4477">
      <w:pPr>
        <w:spacing w:line="360" w:lineRule="auto"/>
        <w:ind w:left="360" w:firstLine="360"/>
        <w:jc w:val="both"/>
      </w:pPr>
      <w:r>
        <w:t xml:space="preserve">Gluži kā ar vispārējo izglītību, arī pieaugušo izglītība ir sabiedrībai svarīgs process, kuru nepieciešams pastāvīgi pilnveidot. Šo apgalvojumu apstiprina Latvijas Republikas Izglītības un zinātnes ministrijas vietnē </w:t>
      </w:r>
      <w:r w:rsidR="00C11096">
        <w:t xml:space="preserve">publicētie pieaugušo izglītības politikas mērķi, viens no kuriem vēsta, ka kvalitatīvs izglītības piedāvājums nodrošina ilgtspējīgas kompetences darbam, pilsoniskai līdzdalībai, personības izaugsmei un sekmē sabiedrības attīstību kopumā </w:t>
      </w:r>
      <w:r w:rsidR="00C11096" w:rsidRPr="00C11096">
        <w:t>(2025)</w:t>
      </w:r>
      <w:r w:rsidR="00C11096">
        <w:t>. Noprotams, ka šim procesam arī ir pozitīva ietekme un tautsaimniecību un kopējo sabiedrības labklājību.</w:t>
      </w:r>
    </w:p>
    <w:p w14:paraId="3D19AD5F" w14:textId="41A3A70F" w:rsidR="001B74BA" w:rsidRDefault="00C11096" w:rsidP="00CC4477">
      <w:pPr>
        <w:spacing w:line="360" w:lineRule="auto"/>
        <w:ind w:left="360"/>
        <w:jc w:val="both"/>
      </w:pPr>
      <w:r>
        <w:tab/>
        <w:t xml:space="preserve">Ņemot vērā, ka pieaugušo izglītības jēdziens nav saistāms ar konkrētu vecuma posmu, bet gan ar cilvēka motivāciju atgriezties mācību procesā pēc sākotnējas izglītības ieguves vai tās pārtraukšanas, ir vērts uzskaitīt </w:t>
      </w:r>
      <w:r w:rsidR="001B74BA">
        <w:t xml:space="preserve">vienu no pieaugušo pedagoģijas teorijām – mācīšanas no pieredzes, kuru izstrādājuši Kurts Levis, Džons Djūijs, Žans </w:t>
      </w:r>
      <w:proofErr w:type="spellStart"/>
      <w:r w:rsidR="001B74BA">
        <w:t>Piažē</w:t>
      </w:r>
      <w:proofErr w:type="spellEnd"/>
      <w:r w:rsidR="001B74BA">
        <w:t xml:space="preserve"> un Deivids </w:t>
      </w:r>
      <w:proofErr w:type="spellStart"/>
      <w:r w:rsidR="001B74BA">
        <w:t>Kolbs</w:t>
      </w:r>
      <w:proofErr w:type="spellEnd"/>
      <w:r w:rsidR="001B74BA">
        <w:t>, kuri šīs teorijas būtību apgalvo kā zināšanu radīšana, balstoties galvenokārt savā vai citu mācīšanās procesa dalībnieka pieredzē.</w:t>
      </w:r>
    </w:p>
    <w:p w14:paraId="2FA54A7B" w14:textId="4F26DEDE" w:rsidR="001B74BA" w:rsidRDefault="001B74BA" w:rsidP="00CC4477">
      <w:pPr>
        <w:spacing w:line="360" w:lineRule="auto"/>
        <w:ind w:left="360"/>
        <w:jc w:val="both"/>
      </w:pPr>
      <w:r>
        <w:tab/>
        <w:t xml:space="preserve">Šo teoriju var papildināt ar andragoģijas jēdziena pamatlicēja, Malkolma </w:t>
      </w:r>
      <w:proofErr w:type="spellStart"/>
      <w:r>
        <w:t>Noulsa</w:t>
      </w:r>
      <w:proofErr w:type="spellEnd"/>
      <w:r>
        <w:t xml:space="preserve">, izstrādāto pieeju, kas balstīta uz </w:t>
      </w:r>
      <w:proofErr w:type="spellStart"/>
      <w:r>
        <w:t>pašvirzītas</w:t>
      </w:r>
      <w:proofErr w:type="spellEnd"/>
      <w:r>
        <w:t xml:space="preserve"> mācīšanas principiem. Pamata atziņas ir: </w:t>
      </w:r>
    </w:p>
    <w:p w14:paraId="4C06C95C" w14:textId="5DC7C40B" w:rsidR="001B74BA" w:rsidRDefault="001B74BA" w:rsidP="00CC4477">
      <w:pPr>
        <w:pStyle w:val="ListParagraph"/>
        <w:numPr>
          <w:ilvl w:val="0"/>
          <w:numId w:val="3"/>
        </w:numPr>
        <w:spacing w:line="360" w:lineRule="auto"/>
        <w:jc w:val="both"/>
      </w:pPr>
      <w:r>
        <w:t>Pieaugušajiem ir motivācija mācīties, ja viņu pieredzes vai darba vajadzības un intereses tiek apmierinātas;</w:t>
      </w:r>
    </w:p>
    <w:p w14:paraId="72504DF6" w14:textId="7D8BE5CA" w:rsidR="001B74BA" w:rsidRDefault="001B74BA" w:rsidP="00CC4477">
      <w:pPr>
        <w:pStyle w:val="ListParagraph"/>
        <w:numPr>
          <w:ilvl w:val="0"/>
          <w:numId w:val="3"/>
        </w:numPr>
        <w:spacing w:line="360" w:lineRule="auto"/>
        <w:jc w:val="both"/>
      </w:pPr>
      <w:r>
        <w:t>Tiek ņemta vērā dzīves situācija, nevis konkrēts mācību priekšmets;</w:t>
      </w:r>
    </w:p>
    <w:p w14:paraId="1D2AACE5" w14:textId="1F5D2DC7" w:rsidR="001B74BA" w:rsidRDefault="001B74BA" w:rsidP="00CC4477">
      <w:pPr>
        <w:pStyle w:val="ListParagraph"/>
        <w:numPr>
          <w:ilvl w:val="0"/>
          <w:numId w:val="3"/>
        </w:numPr>
        <w:spacing w:line="360" w:lineRule="auto"/>
        <w:jc w:val="both"/>
      </w:pPr>
      <w:r>
        <w:t>Nozīmīga ir pieaugušā pieredze;</w:t>
      </w:r>
    </w:p>
    <w:p w14:paraId="4328935B" w14:textId="1CD686A4" w:rsidR="004B624F" w:rsidRDefault="001B74BA" w:rsidP="00CC4477">
      <w:pPr>
        <w:pStyle w:val="ListParagraph"/>
        <w:numPr>
          <w:ilvl w:val="0"/>
          <w:numId w:val="3"/>
        </w:numPr>
        <w:spacing w:line="360" w:lineRule="auto"/>
        <w:jc w:val="both"/>
      </w:pPr>
      <w:r>
        <w:t>Individuālās mācīšanās atšķirības</w:t>
      </w:r>
      <w:r w:rsidR="004B624F">
        <w:t xml:space="preserve"> </w:t>
      </w:r>
      <w:r w:rsidR="004B624F" w:rsidRPr="004B624F">
        <w:t>(</w:t>
      </w:r>
      <w:proofErr w:type="spellStart"/>
      <w:r w:rsidR="004B624F" w:rsidRPr="004B624F">
        <w:t>Knowles</w:t>
      </w:r>
      <w:proofErr w:type="spellEnd"/>
      <w:r w:rsidR="004B624F" w:rsidRPr="004B624F">
        <w:t>, 1975)</w:t>
      </w:r>
      <w:r w:rsidR="004B624F">
        <w:t>.</w:t>
      </w:r>
    </w:p>
    <w:p w14:paraId="01B4526A" w14:textId="5D27AEF9" w:rsidR="004B624F" w:rsidRDefault="004B624F" w:rsidP="00CC4477">
      <w:pPr>
        <w:spacing w:line="360" w:lineRule="auto"/>
        <w:ind w:left="360" w:firstLine="360"/>
        <w:jc w:val="both"/>
      </w:pPr>
      <w:r>
        <w:t xml:space="preserve">Jāņem vērā, ka līdz ar šādu un arī vairāku citu jēdzienu pastāvēšanu jāpievērš uzmanība arī zināmām īpatnībām ar kurām bieži vien gan </w:t>
      </w:r>
      <w:proofErr w:type="spellStart"/>
      <w:r>
        <w:t>pasniedzējie</w:t>
      </w:r>
      <w:proofErr w:type="spellEnd"/>
      <w:r>
        <w:t xml:space="preserve">, gan izglītojamie saskarās pieaugušo izglītības procesā. H. </w:t>
      </w:r>
      <w:proofErr w:type="spellStart"/>
      <w:r>
        <w:t>Gārdners</w:t>
      </w:r>
      <w:proofErr w:type="spellEnd"/>
      <w:r>
        <w:t xml:space="preserve"> ir izdalījis astoņas spēju grupas: lingvistiskās, domāšanas, matemātiskās, telpiskās, kinētiskās, </w:t>
      </w:r>
      <w:proofErr w:type="spellStart"/>
      <w:r>
        <w:t>interpersonālās</w:t>
      </w:r>
      <w:proofErr w:type="spellEnd"/>
      <w:r>
        <w:t xml:space="preserve">, </w:t>
      </w:r>
      <w:proofErr w:type="spellStart"/>
      <w:r>
        <w:t>intrapersonālās</w:t>
      </w:r>
      <w:proofErr w:type="spellEnd"/>
      <w:r>
        <w:t xml:space="preserve"> un dabas (1999).</w:t>
      </w:r>
    </w:p>
    <w:p w14:paraId="2FAC9AF9" w14:textId="77777777" w:rsidR="004B624F" w:rsidRDefault="004B624F" w:rsidP="00CC4477">
      <w:pPr>
        <w:spacing w:line="360" w:lineRule="auto"/>
        <w:ind w:left="360" w:firstLine="360"/>
        <w:jc w:val="both"/>
      </w:pPr>
    </w:p>
    <w:p w14:paraId="2F20B42A" w14:textId="57647974" w:rsidR="004B624F" w:rsidRDefault="004B624F" w:rsidP="00CC4477">
      <w:pPr>
        <w:spacing w:line="360" w:lineRule="auto"/>
        <w:ind w:left="360" w:firstLine="360"/>
        <w:jc w:val="both"/>
      </w:pPr>
      <w:r>
        <w:lastRenderedPageBreak/>
        <w:t xml:space="preserve">Ņemot vērā, ka pieaugušajam šīs spēju grupas ir krietni attīstītākas kā bērniem vai jauniešiem, un ka izglītības process šai vecuma grupai notiek balstoties uz iepriekšējo pieredzi, viena no izteiktākajām īpatnībā ir </w:t>
      </w:r>
      <w:r w:rsidR="008E6F1E">
        <w:t>izglītojamā atteikšanās uzņemt vai pieņemt jaunu informāciju, ja tā ir pretrunā ar viņa iepriekšējo praktisko pieredzi, kas var novest pie grūtības saistīt teoriju ar praksi</w:t>
      </w:r>
      <w:r w:rsidR="00CC1F14">
        <w:t xml:space="preserve"> (Ivanova, 2016)</w:t>
      </w:r>
      <w:r w:rsidR="008E6F1E">
        <w:t>.</w:t>
      </w:r>
      <w:r w:rsidR="00CC1F14">
        <w:t xml:space="preserve"> Jaunas informācijas apguves laiku var paildzināt arī izglītojamā vērtību,</w:t>
      </w:r>
      <w:r w:rsidR="00F440D7">
        <w:t xml:space="preserve"> uzskatu un uzvedības nesaderība ar apgūstāmo vielu (Ivanova, 2016).</w:t>
      </w:r>
    </w:p>
    <w:p w14:paraId="5EB3F1D7" w14:textId="61A71601" w:rsidR="00671E94" w:rsidRDefault="00671E94" w:rsidP="00CC4477">
      <w:pPr>
        <w:spacing w:line="360" w:lineRule="auto"/>
        <w:ind w:left="360" w:firstLine="360"/>
        <w:jc w:val="both"/>
      </w:pPr>
      <w:r>
        <w:t>Kopumā, secināms, ka īpatnības pamatā ir saistītas ar pieaugušā iekšējas pasaules atbilstību apgūstāmajai vielai, attiecīgi, pasniedzējam jābūt gatavam pielāgoties šīm īpatnībām, lai sekmētu mācību procesu.</w:t>
      </w:r>
    </w:p>
    <w:p w14:paraId="529A1041" w14:textId="565940B4" w:rsidR="00671E94" w:rsidRPr="00CC4477" w:rsidRDefault="00671E94" w:rsidP="00CC4477">
      <w:pPr>
        <w:pStyle w:val="Heading2"/>
        <w:numPr>
          <w:ilvl w:val="1"/>
          <w:numId w:val="2"/>
        </w:numPr>
        <w:jc w:val="both"/>
        <w:rPr>
          <w:rFonts w:ascii="Times New Roman" w:hAnsi="Times New Roman" w:cs="Times New Roman"/>
          <w:b/>
          <w:bCs/>
          <w:color w:val="auto"/>
          <w:sz w:val="24"/>
          <w:szCs w:val="24"/>
        </w:rPr>
      </w:pPr>
      <w:bookmarkStart w:id="4" w:name="_Toc194859680"/>
      <w:r w:rsidRPr="00CC4477">
        <w:rPr>
          <w:rFonts w:ascii="Times New Roman" w:hAnsi="Times New Roman" w:cs="Times New Roman"/>
          <w:b/>
          <w:bCs/>
          <w:color w:val="auto"/>
          <w:sz w:val="24"/>
          <w:szCs w:val="24"/>
        </w:rPr>
        <w:t>Starptautiskās mobilitātes ietekme uz pieaugušo izglītību</w:t>
      </w:r>
      <w:bookmarkEnd w:id="4"/>
    </w:p>
    <w:p w14:paraId="76E45CE1" w14:textId="77777777" w:rsidR="00671E94" w:rsidRDefault="00671E94" w:rsidP="00CC4477">
      <w:pPr>
        <w:ind w:left="360"/>
        <w:jc w:val="both"/>
      </w:pPr>
    </w:p>
    <w:p w14:paraId="7FA86500" w14:textId="2732F43C" w:rsidR="00671E94" w:rsidRDefault="00671E94" w:rsidP="00CC4477">
      <w:pPr>
        <w:spacing w:line="360" w:lineRule="auto"/>
        <w:ind w:left="360" w:firstLine="360"/>
        <w:jc w:val="both"/>
      </w:pPr>
      <w:r>
        <w:t xml:space="preserve">Starptautisko mobilitāšu kā izglītības procesa ieviešana Latvijas Republikas izglītības sistēmā ir salīdzinoši jauna – </w:t>
      </w:r>
      <w:proofErr w:type="spellStart"/>
      <w:r>
        <w:t>Erasmus</w:t>
      </w:r>
      <w:proofErr w:type="spellEnd"/>
      <w:r>
        <w:t>+ programmas īstenošana Latvijā aizsākās 1999. gadā (</w:t>
      </w:r>
      <w:proofErr w:type="spellStart"/>
      <w:r>
        <w:t>Kivriņa</w:t>
      </w:r>
      <w:proofErr w:type="spellEnd"/>
      <w:r>
        <w:t xml:space="preserve">, 2012). </w:t>
      </w:r>
      <w:r w:rsidR="00623A77" w:rsidRPr="00623A77">
        <w:t>RIA-AE tīkl</w:t>
      </w:r>
      <w:r w:rsidR="00623A77">
        <w:t>a</w:t>
      </w:r>
      <w:r w:rsidR="00623A77" w:rsidRPr="00623A77">
        <w:t xml:space="preserve"> (</w:t>
      </w:r>
      <w:proofErr w:type="spellStart"/>
      <w:r w:rsidR="00623A77" w:rsidRPr="00623A77">
        <w:rPr>
          <w:i/>
          <w:iCs/>
        </w:rPr>
        <w:t>Research-based</w:t>
      </w:r>
      <w:proofErr w:type="spellEnd"/>
      <w:r w:rsidR="00623A77" w:rsidRPr="00623A77">
        <w:rPr>
          <w:i/>
          <w:iCs/>
        </w:rPr>
        <w:t xml:space="preserve"> </w:t>
      </w:r>
      <w:proofErr w:type="spellStart"/>
      <w:r w:rsidR="00623A77" w:rsidRPr="00623A77">
        <w:rPr>
          <w:i/>
          <w:iCs/>
        </w:rPr>
        <w:t>Impact</w:t>
      </w:r>
      <w:proofErr w:type="spellEnd"/>
      <w:r w:rsidR="00623A77" w:rsidRPr="00623A77">
        <w:rPr>
          <w:i/>
          <w:iCs/>
        </w:rPr>
        <w:t xml:space="preserve"> </w:t>
      </w:r>
      <w:proofErr w:type="spellStart"/>
      <w:r w:rsidR="00623A77" w:rsidRPr="00623A77">
        <w:rPr>
          <w:i/>
          <w:iCs/>
        </w:rPr>
        <w:t>Analysis</w:t>
      </w:r>
      <w:proofErr w:type="spellEnd"/>
      <w:r w:rsidR="00623A77" w:rsidRPr="00623A77">
        <w:rPr>
          <w:i/>
          <w:iCs/>
        </w:rPr>
        <w:t xml:space="preserve"> </w:t>
      </w:r>
      <w:proofErr w:type="spellStart"/>
      <w:r w:rsidR="00623A77" w:rsidRPr="00623A77">
        <w:rPr>
          <w:i/>
          <w:iCs/>
        </w:rPr>
        <w:t>of</w:t>
      </w:r>
      <w:proofErr w:type="spellEnd"/>
      <w:r w:rsidR="00623A77" w:rsidRPr="00623A77">
        <w:rPr>
          <w:i/>
          <w:iCs/>
        </w:rPr>
        <w:t xml:space="preserve"> </w:t>
      </w:r>
      <w:proofErr w:type="spellStart"/>
      <w:r w:rsidR="00623A77" w:rsidRPr="00623A77">
        <w:rPr>
          <w:i/>
          <w:iCs/>
        </w:rPr>
        <w:t>Erasmus</w:t>
      </w:r>
      <w:proofErr w:type="spellEnd"/>
      <w:r w:rsidR="00623A77" w:rsidRPr="00623A77">
        <w:rPr>
          <w:i/>
          <w:iCs/>
        </w:rPr>
        <w:t xml:space="preserve">+ </w:t>
      </w:r>
      <w:proofErr w:type="spellStart"/>
      <w:r w:rsidR="00623A77" w:rsidRPr="00623A77">
        <w:rPr>
          <w:i/>
          <w:iCs/>
        </w:rPr>
        <w:t>Adult</w:t>
      </w:r>
      <w:proofErr w:type="spellEnd"/>
      <w:r w:rsidR="00623A77" w:rsidRPr="00623A77">
        <w:rPr>
          <w:i/>
          <w:iCs/>
        </w:rPr>
        <w:t xml:space="preserve"> </w:t>
      </w:r>
      <w:proofErr w:type="spellStart"/>
      <w:r w:rsidR="00623A77" w:rsidRPr="00623A77">
        <w:rPr>
          <w:i/>
          <w:iCs/>
        </w:rPr>
        <w:t>Education</w:t>
      </w:r>
      <w:proofErr w:type="spellEnd"/>
      <w:r w:rsidR="00623A77" w:rsidRPr="00623A77">
        <w:rPr>
          <w:i/>
          <w:iCs/>
        </w:rPr>
        <w:t xml:space="preserve"> </w:t>
      </w:r>
      <w:proofErr w:type="spellStart"/>
      <w:r w:rsidR="00623A77" w:rsidRPr="00623A77">
        <w:rPr>
          <w:i/>
          <w:iCs/>
        </w:rPr>
        <w:t>Programme</w:t>
      </w:r>
      <w:proofErr w:type="spellEnd"/>
      <w:r w:rsidR="00623A77" w:rsidRPr="00623A77">
        <w:t>)</w:t>
      </w:r>
      <w:r w:rsidR="00623A77">
        <w:t xml:space="preserve"> radītajā monitoringa pētījumā apskatīti vairāki pozitīvi aspekti tam, kā starptautiskās mobilitātes ir sekmējušas pieaugušo izglītības kvalitāti. Īsumā tiek uzskaitīti konkrēti četri virzieni:</w:t>
      </w:r>
    </w:p>
    <w:p w14:paraId="1DB73555" w14:textId="26F26918" w:rsidR="00623A77" w:rsidRDefault="00623A77" w:rsidP="00CC4477">
      <w:pPr>
        <w:pStyle w:val="ListParagraph"/>
        <w:numPr>
          <w:ilvl w:val="0"/>
          <w:numId w:val="4"/>
        </w:numPr>
        <w:spacing w:line="360" w:lineRule="auto"/>
        <w:jc w:val="both"/>
      </w:pPr>
      <w:proofErr w:type="spellStart"/>
      <w:r>
        <w:t>Erasmus</w:t>
      </w:r>
      <w:proofErr w:type="spellEnd"/>
      <w:r>
        <w:t>+ programma ir veicinājusi plašāku izglītības pieejamību un jaunu sadarbības iespēju radīšanu Latvijā</w:t>
      </w:r>
    </w:p>
    <w:p w14:paraId="42AD8876" w14:textId="6B974749" w:rsidR="00623A77" w:rsidRDefault="00623A77" w:rsidP="00CC4477">
      <w:pPr>
        <w:pStyle w:val="ListParagraph"/>
        <w:numPr>
          <w:ilvl w:val="0"/>
          <w:numId w:val="4"/>
        </w:numPr>
        <w:spacing w:line="360" w:lineRule="auto"/>
        <w:jc w:val="both"/>
      </w:pPr>
      <w:r>
        <w:t>71% aptaujāto organizāciju ziņo, ka dalība programmā veicinājusi starptautiskās sadarbības iespējas un projektu vadības prasmes</w:t>
      </w:r>
    </w:p>
    <w:p w14:paraId="1E3D0CF7" w14:textId="0234FA9F" w:rsidR="00623A77" w:rsidRDefault="00623A77" w:rsidP="00CC4477">
      <w:pPr>
        <w:pStyle w:val="ListParagraph"/>
        <w:numPr>
          <w:ilvl w:val="0"/>
          <w:numId w:val="4"/>
        </w:numPr>
        <w:spacing w:line="360" w:lineRule="auto"/>
        <w:jc w:val="both"/>
      </w:pPr>
      <w:r>
        <w:t>Īpaši pandēmijas laikā projekti īpaši sekmējuši digitālo prasmju apguvi, pilsonisko līdzdalību un demokrātisko vērtību uzturēšanu</w:t>
      </w:r>
    </w:p>
    <w:p w14:paraId="43F66F29" w14:textId="6E481733" w:rsidR="00623A77" w:rsidRDefault="00623A77" w:rsidP="00CC4477">
      <w:pPr>
        <w:pStyle w:val="ListParagraph"/>
        <w:numPr>
          <w:ilvl w:val="0"/>
          <w:numId w:val="4"/>
        </w:numPr>
        <w:spacing w:line="360" w:lineRule="auto"/>
        <w:jc w:val="both"/>
      </w:pPr>
      <w:r>
        <w:t>Cilvēkresursu veiktspējas trūkums (angļu valodas un projektu rakstīšanas prasmes) ir lielākais šķērslis projektu īstenošanai</w:t>
      </w:r>
      <w:r w:rsidR="00F70EDB">
        <w:t xml:space="preserve"> </w:t>
      </w:r>
      <w:r w:rsidR="00F70EDB" w:rsidRPr="00F70EDB">
        <w:t xml:space="preserve">(RIA-AE </w:t>
      </w:r>
      <w:proofErr w:type="spellStart"/>
      <w:r w:rsidR="00F70EDB" w:rsidRPr="00F70EDB">
        <w:t>Network</w:t>
      </w:r>
      <w:proofErr w:type="spellEnd"/>
      <w:r w:rsidR="00F70EDB" w:rsidRPr="00F70EDB">
        <w:t>, 2024)</w:t>
      </w:r>
      <w:r>
        <w:t>.</w:t>
      </w:r>
    </w:p>
    <w:p w14:paraId="5AE790DA" w14:textId="5DAF15B5" w:rsidR="00623A77" w:rsidRDefault="00623A77" w:rsidP="00CC4477">
      <w:pPr>
        <w:spacing w:line="360" w:lineRule="auto"/>
        <w:ind w:left="360"/>
        <w:jc w:val="both"/>
      </w:pPr>
      <w:r>
        <w:t>Pētījumā arīdzan pievērsta uzmanība iekļaušanas problēmām, šajā gadījumā par dalībniekiem ar zemām pamata prasmēm. Tas tiek skaidrots ar motivācijas mācīties trūkumu, tāpēc šai grupai nepieciešama īpaša pieeja, lai tos motivētu</w:t>
      </w:r>
      <w:r w:rsidR="00F70EDB">
        <w:t xml:space="preserve"> </w:t>
      </w:r>
      <w:r w:rsidR="00F70EDB" w:rsidRPr="00F70EDB">
        <w:t xml:space="preserve">(RIA-AE </w:t>
      </w:r>
      <w:proofErr w:type="spellStart"/>
      <w:r w:rsidR="00F70EDB" w:rsidRPr="00F70EDB">
        <w:t>Network</w:t>
      </w:r>
      <w:proofErr w:type="spellEnd"/>
      <w:r w:rsidR="00F70EDB" w:rsidRPr="00F70EDB">
        <w:t>, 2024)</w:t>
      </w:r>
      <w:r>
        <w:t>.</w:t>
      </w:r>
    </w:p>
    <w:p w14:paraId="4B1D21A3" w14:textId="77777777" w:rsidR="00623A77" w:rsidRDefault="00623A77" w:rsidP="00CC4477">
      <w:pPr>
        <w:jc w:val="both"/>
      </w:pPr>
      <w:r>
        <w:br w:type="page"/>
      </w:r>
    </w:p>
    <w:p w14:paraId="5A4D9EEF" w14:textId="67BE9CC0" w:rsidR="00623A77" w:rsidRPr="00CC4477" w:rsidRDefault="00F70EDB" w:rsidP="00CC4477">
      <w:pPr>
        <w:pStyle w:val="Heading1"/>
        <w:numPr>
          <w:ilvl w:val="0"/>
          <w:numId w:val="2"/>
        </w:numPr>
        <w:jc w:val="both"/>
        <w:rPr>
          <w:rFonts w:ascii="Times New Roman" w:hAnsi="Times New Roman" w:cs="Times New Roman"/>
          <w:b/>
          <w:bCs/>
          <w:color w:val="auto"/>
          <w:sz w:val="28"/>
          <w:szCs w:val="28"/>
        </w:rPr>
      </w:pPr>
      <w:bookmarkStart w:id="5" w:name="_Toc194859681"/>
      <w:r w:rsidRPr="00CC4477">
        <w:rPr>
          <w:rFonts w:ascii="Times New Roman" w:hAnsi="Times New Roman" w:cs="Times New Roman"/>
          <w:b/>
          <w:bCs/>
          <w:color w:val="auto"/>
          <w:sz w:val="28"/>
          <w:szCs w:val="28"/>
        </w:rPr>
        <w:lastRenderedPageBreak/>
        <w:t>Starptautiskā vide kā mācību procesa ietekmējošs faktors</w:t>
      </w:r>
      <w:bookmarkEnd w:id="5"/>
    </w:p>
    <w:p w14:paraId="26E26A4C" w14:textId="3CE83273" w:rsidR="00F70EDB" w:rsidRPr="00CC4477" w:rsidRDefault="00F70EDB" w:rsidP="00CC4477">
      <w:pPr>
        <w:pStyle w:val="Heading2"/>
        <w:ind w:firstLine="360"/>
        <w:jc w:val="both"/>
        <w:rPr>
          <w:rFonts w:ascii="Times New Roman" w:hAnsi="Times New Roman" w:cs="Times New Roman"/>
          <w:b/>
          <w:bCs/>
          <w:color w:val="auto"/>
          <w:sz w:val="24"/>
          <w:szCs w:val="24"/>
        </w:rPr>
      </w:pPr>
      <w:bookmarkStart w:id="6" w:name="_Toc194859682"/>
      <w:r w:rsidRPr="00CC4477">
        <w:rPr>
          <w:rFonts w:ascii="Times New Roman" w:hAnsi="Times New Roman" w:cs="Times New Roman"/>
          <w:b/>
          <w:bCs/>
          <w:color w:val="auto"/>
          <w:sz w:val="24"/>
          <w:szCs w:val="24"/>
        </w:rPr>
        <w:t>2.1. Multikulturāla vide un mācību metožu pielāgošana</w:t>
      </w:r>
      <w:bookmarkEnd w:id="6"/>
    </w:p>
    <w:p w14:paraId="79668232" w14:textId="77777777" w:rsidR="00655A94" w:rsidRPr="00655A94" w:rsidRDefault="00655A94" w:rsidP="00CC4477">
      <w:pPr>
        <w:jc w:val="both"/>
      </w:pPr>
    </w:p>
    <w:p w14:paraId="1AB00058" w14:textId="715DF738" w:rsidR="00F70EDB" w:rsidRDefault="00F70EDB" w:rsidP="00CC4477">
      <w:pPr>
        <w:spacing w:line="360" w:lineRule="auto"/>
        <w:ind w:firstLine="360"/>
        <w:jc w:val="both"/>
      </w:pPr>
      <w:r w:rsidRPr="00F70EDB">
        <w:t xml:space="preserve">Pieaugušo izglītībā starptautiskā vide piedāvā iespēju mācīties dažādās kultūrās, kas var bagātināt izglītojamo pieredzi. Tomēr šāda vide prasa pielāgot mācību metodes, lai tās būtu efektīvas dažādu kultūru pārstāvjiem. Pētījumi liecina, ka starptautiskā mobilitāte veicina </w:t>
      </w:r>
      <w:proofErr w:type="spellStart"/>
      <w:r w:rsidRPr="00F70EDB">
        <w:t>starpkultūru</w:t>
      </w:r>
      <w:proofErr w:type="spellEnd"/>
      <w:r w:rsidRPr="00F70EDB">
        <w:t xml:space="preserve"> mācīšanos un personīgo izaugsmi. Lai nodrošinātu efektīvu mācību procesu, pedagogiem jābūt jutīgiem pret kultūras atšķirībām un jāpielāgo mācību materiāli, ņemot vērā izglītojamo dažādās pieredzes un vajadzības</w:t>
      </w:r>
      <w:r w:rsidR="00655A94">
        <w:t xml:space="preserve"> (</w:t>
      </w:r>
      <w:proofErr w:type="spellStart"/>
      <w:r w:rsidR="00655A94" w:rsidRPr="00655A94">
        <w:t>Miloč</w:t>
      </w:r>
      <w:proofErr w:type="spellEnd"/>
      <w:r w:rsidR="00655A94">
        <w:t xml:space="preserve"> </w:t>
      </w:r>
      <w:proofErr w:type="spellStart"/>
      <w:r w:rsidR="00655A94">
        <w:t>et</w:t>
      </w:r>
      <w:proofErr w:type="spellEnd"/>
      <w:r w:rsidR="00655A94">
        <w:t xml:space="preserve"> </w:t>
      </w:r>
      <w:proofErr w:type="spellStart"/>
      <w:r w:rsidR="00655A94">
        <w:t>al</w:t>
      </w:r>
      <w:proofErr w:type="spellEnd"/>
      <w:r w:rsidR="00655A94">
        <w:t>., 2008)</w:t>
      </w:r>
      <w:r w:rsidRPr="00F70EDB">
        <w:t>.</w:t>
      </w:r>
    </w:p>
    <w:p w14:paraId="77918EC2" w14:textId="481F3DB1" w:rsidR="00F70EDB" w:rsidRPr="00CC4477" w:rsidRDefault="00F70EDB" w:rsidP="00CC4477">
      <w:pPr>
        <w:pStyle w:val="Heading2"/>
        <w:numPr>
          <w:ilvl w:val="1"/>
          <w:numId w:val="2"/>
        </w:numPr>
        <w:jc w:val="both"/>
        <w:rPr>
          <w:rFonts w:ascii="Times New Roman" w:hAnsi="Times New Roman" w:cs="Times New Roman"/>
          <w:b/>
          <w:bCs/>
          <w:color w:val="auto"/>
          <w:sz w:val="24"/>
          <w:szCs w:val="24"/>
        </w:rPr>
      </w:pPr>
      <w:bookmarkStart w:id="7" w:name="_Toc194859683"/>
      <w:r w:rsidRPr="00CC4477">
        <w:rPr>
          <w:rFonts w:ascii="Times New Roman" w:hAnsi="Times New Roman" w:cs="Times New Roman"/>
          <w:b/>
          <w:bCs/>
          <w:color w:val="auto"/>
          <w:sz w:val="24"/>
          <w:szCs w:val="24"/>
        </w:rPr>
        <w:t>Valodas un kultūras barjeras</w:t>
      </w:r>
      <w:bookmarkEnd w:id="7"/>
    </w:p>
    <w:p w14:paraId="0652232F" w14:textId="77777777" w:rsidR="00655A94" w:rsidRPr="00655A94" w:rsidRDefault="00655A94" w:rsidP="00CC4477">
      <w:pPr>
        <w:jc w:val="both"/>
      </w:pPr>
    </w:p>
    <w:p w14:paraId="0B37A913" w14:textId="77777777" w:rsidR="00655A94" w:rsidRDefault="00655A94" w:rsidP="00CC4477">
      <w:pPr>
        <w:spacing w:line="360" w:lineRule="auto"/>
        <w:ind w:firstLine="360"/>
        <w:jc w:val="both"/>
      </w:pPr>
      <w:r w:rsidRPr="00655A94">
        <w:t>Valodas barjeras ir viens no galvenajiem izaicinājumiem starptautiskā izglītībā. Studenti ar ierobežotām valodas prasmēm var saskarties ar grūtībām izprast mācību materiālus, piedalīties diskusijās un veidot attiecības ar vienaudžiem, kas var negatīvi ietekmēt viņu akadēmisko sniegumu un sociālo integrāciju</w:t>
      </w:r>
      <w:r>
        <w:t xml:space="preserve"> (</w:t>
      </w:r>
      <w:proofErr w:type="spellStart"/>
      <w:r>
        <w:t>Ashikuzzaman</w:t>
      </w:r>
      <w:proofErr w:type="spellEnd"/>
      <w:r>
        <w:t>, 2023)</w:t>
      </w:r>
      <w:r w:rsidRPr="00655A94">
        <w:t xml:space="preserve">. Turklāt valodas barjeras var radīt psiholoģisku stresu un izolāciju, kas vēl vairāk apgrūtina mācību procesu </w:t>
      </w:r>
      <w:r>
        <w:t>(</w:t>
      </w:r>
      <w:proofErr w:type="spellStart"/>
      <w:r>
        <w:rPr>
          <w:i/>
          <w:iCs/>
        </w:rPr>
        <w:t>Geek</w:t>
      </w:r>
      <w:proofErr w:type="spellEnd"/>
      <w:r>
        <w:rPr>
          <w:i/>
          <w:iCs/>
        </w:rPr>
        <w:t xml:space="preserve"> mode</w:t>
      </w:r>
      <w:r>
        <w:t xml:space="preserve">, </w:t>
      </w:r>
      <w:proofErr w:type="spellStart"/>
      <w:r>
        <w:t>n.d</w:t>
      </w:r>
      <w:proofErr w:type="spellEnd"/>
      <w:r>
        <w:t>.)</w:t>
      </w:r>
      <w:r w:rsidRPr="00655A94">
        <w:t>. Lai mazinātu šīs problēmas, ieteicams nodrošināt valodas atbalsta programmas un veicināt kultūras izpratni izglītības iestādēs.</w:t>
      </w:r>
    </w:p>
    <w:p w14:paraId="7A43997B" w14:textId="77777777" w:rsidR="00655A94" w:rsidRPr="00CC4477" w:rsidRDefault="00655A94" w:rsidP="00CC4477">
      <w:pPr>
        <w:pStyle w:val="Heading2"/>
        <w:numPr>
          <w:ilvl w:val="1"/>
          <w:numId w:val="2"/>
        </w:numPr>
        <w:jc w:val="both"/>
        <w:rPr>
          <w:rFonts w:ascii="Times New Roman" w:hAnsi="Times New Roman" w:cs="Times New Roman"/>
          <w:b/>
          <w:bCs/>
          <w:color w:val="auto"/>
          <w:sz w:val="24"/>
          <w:szCs w:val="24"/>
        </w:rPr>
      </w:pPr>
      <w:bookmarkStart w:id="8" w:name="_Toc194859684"/>
      <w:r w:rsidRPr="00CC4477">
        <w:rPr>
          <w:rFonts w:ascii="Times New Roman" w:hAnsi="Times New Roman" w:cs="Times New Roman"/>
          <w:b/>
          <w:bCs/>
          <w:color w:val="auto"/>
          <w:sz w:val="24"/>
          <w:szCs w:val="24"/>
        </w:rPr>
        <w:t>Jaunu kompetenču un prasmju attīstība starptautiskā kontekstā</w:t>
      </w:r>
      <w:bookmarkEnd w:id="8"/>
    </w:p>
    <w:p w14:paraId="69C632E9" w14:textId="77777777" w:rsidR="00655A94" w:rsidRDefault="00655A94" w:rsidP="00CC4477">
      <w:pPr>
        <w:jc w:val="both"/>
      </w:pPr>
    </w:p>
    <w:p w14:paraId="5A39CC6D" w14:textId="77777777" w:rsidR="00655A94" w:rsidRDefault="00655A94" w:rsidP="00CC4477">
      <w:pPr>
        <w:spacing w:line="360" w:lineRule="auto"/>
        <w:ind w:firstLine="360"/>
        <w:jc w:val="both"/>
      </w:pPr>
      <w:r w:rsidRPr="00655A94">
        <w:t xml:space="preserve">Dalība starptautiskās izglītības programmās veicina ne tikai akadēmisko zināšanu paplašināšanu, bet arī attīsta </w:t>
      </w:r>
      <w:proofErr w:type="spellStart"/>
      <w:r w:rsidRPr="00655A94">
        <w:t>starpkultūru</w:t>
      </w:r>
      <w:proofErr w:type="spellEnd"/>
      <w:r w:rsidRPr="00655A94">
        <w:t xml:space="preserve"> kompetences un komunikācijas prasmes. Pētījumi rāda, ka mobilitāte pieaugušo izglītībā veicina </w:t>
      </w:r>
      <w:proofErr w:type="spellStart"/>
      <w:r w:rsidRPr="00655A94">
        <w:t>starpkultūru</w:t>
      </w:r>
      <w:proofErr w:type="spellEnd"/>
      <w:r w:rsidRPr="00655A94">
        <w:t xml:space="preserve"> mācīšanos un personīgo briedumu . Šīs prasmes ir būtiskas globālajā darba tirgū, kur spēja efektīvi sadarboties ar dažādu kultūru pārstāvjiem ir arvien svarīgāka. Tādējādi starptautiskā izglītība ne tikai bagātina izglītojamo personīgo pieredzi, bet arī palielina viņu konkurētspēju darba tirgū</w:t>
      </w:r>
      <w:r>
        <w:t xml:space="preserve"> (</w:t>
      </w:r>
      <w:proofErr w:type="spellStart"/>
      <w:r>
        <w:t>Miloč</w:t>
      </w:r>
      <w:proofErr w:type="spellEnd"/>
      <w:r>
        <w:t xml:space="preserve"> </w:t>
      </w:r>
      <w:proofErr w:type="spellStart"/>
      <w:r>
        <w:t>et</w:t>
      </w:r>
      <w:proofErr w:type="spellEnd"/>
      <w:r>
        <w:t xml:space="preserve"> </w:t>
      </w:r>
      <w:proofErr w:type="spellStart"/>
      <w:r>
        <w:t>al</w:t>
      </w:r>
      <w:proofErr w:type="spellEnd"/>
      <w:r>
        <w:t>., 2008)</w:t>
      </w:r>
      <w:r w:rsidRPr="00655A94">
        <w:t>.</w:t>
      </w:r>
    </w:p>
    <w:p w14:paraId="0232E7E8" w14:textId="77777777" w:rsidR="00655A94" w:rsidRDefault="00655A94" w:rsidP="00CC4477">
      <w:pPr>
        <w:jc w:val="both"/>
      </w:pPr>
      <w:r>
        <w:br w:type="page"/>
      </w:r>
    </w:p>
    <w:p w14:paraId="5C71FA2C" w14:textId="77777777" w:rsidR="00655A94" w:rsidRPr="00CC4477" w:rsidRDefault="00655A94" w:rsidP="00CC4477">
      <w:pPr>
        <w:pStyle w:val="Heading1"/>
        <w:numPr>
          <w:ilvl w:val="0"/>
          <w:numId w:val="2"/>
        </w:numPr>
        <w:jc w:val="both"/>
        <w:rPr>
          <w:rFonts w:ascii="Times New Roman" w:hAnsi="Times New Roman" w:cs="Times New Roman"/>
          <w:b/>
          <w:bCs/>
          <w:color w:val="auto"/>
          <w:sz w:val="28"/>
          <w:szCs w:val="28"/>
        </w:rPr>
      </w:pPr>
      <w:bookmarkStart w:id="9" w:name="_Toc194859685"/>
      <w:r w:rsidRPr="00CC4477">
        <w:rPr>
          <w:rFonts w:ascii="Times New Roman" w:hAnsi="Times New Roman" w:cs="Times New Roman"/>
          <w:b/>
          <w:bCs/>
          <w:color w:val="auto"/>
          <w:sz w:val="28"/>
          <w:szCs w:val="28"/>
        </w:rPr>
        <w:lastRenderedPageBreak/>
        <w:t>Latvijas Nacionālās bibliotēkas “Bibliotēku, informācijas un arhīvu zinības” programma starptautiskajā kontekstā</w:t>
      </w:r>
      <w:bookmarkEnd w:id="9"/>
    </w:p>
    <w:p w14:paraId="41626F2C" w14:textId="77777777" w:rsidR="00655A94" w:rsidRDefault="00655A94" w:rsidP="00CC4477">
      <w:pPr>
        <w:jc w:val="both"/>
      </w:pPr>
    </w:p>
    <w:p w14:paraId="62E72DE8" w14:textId="77777777" w:rsidR="00655A94" w:rsidRDefault="00655A94" w:rsidP="00CC4477">
      <w:pPr>
        <w:spacing w:line="360" w:lineRule="auto"/>
        <w:ind w:firstLine="360"/>
        <w:jc w:val="both"/>
      </w:pPr>
      <w:r>
        <w:t xml:space="preserve">Latvijas nacionālā bibliotēka īsteno divas akreditētas formālās izglītības programmas, vieno no kurām ir 960 stundu profesionālās tālākizglītības programma “Bibliotēku, informācijas un arhīvu zinības”. </w:t>
      </w:r>
      <w:r w:rsidRPr="00655A94">
        <w:t>Programmas mērķis: izglītības procesa rezultātā sagatavot izglītojamo bibliotekāra profesionālās darbības pamatuzdevumu veikšanai publiskajās, akadēmiskajās, speciālajās, publiskajās, izglītības iestāžu bibliotēkās un informācijas centros</w:t>
      </w:r>
      <w:r>
        <w:t xml:space="preserve">. </w:t>
      </w:r>
      <w:r w:rsidRPr="00655A94">
        <w:t>Sekmīgi apgūstot formālās izglītības programmu "Bibliotēku, informācijas un arhīvu zinības" (960h), tiek iegūts valsts dokuments par profesionālās kvalifikācijas “Bibliotekārs” iegūšanu</w:t>
      </w:r>
      <w:r>
        <w:t xml:space="preserve"> (</w:t>
      </w:r>
      <w:r w:rsidRPr="00655A94">
        <w:t>Macies.lnb.lv</w:t>
      </w:r>
      <w:r>
        <w:rPr>
          <w:i/>
          <w:iCs/>
        </w:rPr>
        <w:t>,</w:t>
      </w:r>
      <w:r w:rsidRPr="00655A94">
        <w:t xml:space="preserve"> </w:t>
      </w:r>
      <w:proofErr w:type="spellStart"/>
      <w:r w:rsidRPr="00655A94">
        <w:t>n.d</w:t>
      </w:r>
      <w:proofErr w:type="spellEnd"/>
      <w:r w:rsidRPr="00655A94">
        <w:t>.).</w:t>
      </w:r>
    </w:p>
    <w:p w14:paraId="170C0AAA" w14:textId="77777777" w:rsidR="004C1A3C" w:rsidRDefault="00655A94" w:rsidP="00CC4477">
      <w:pPr>
        <w:spacing w:line="360" w:lineRule="auto"/>
        <w:ind w:firstLine="360"/>
        <w:jc w:val="both"/>
      </w:pPr>
      <w:r>
        <w:t xml:space="preserve">Starptautiskās mobilitātes šo programmu izglītojamajiem tika uzsāktas 2025. gada februārī. Šo iniciatīvu Latvijas Nacionālās bibliotēkas kompetenču attīstības centrs aizsāka projekta “pieaugušo izglītības mobilitātes” ietvarā, par iemeslu minot topošajiem un esošajiem nozares darbiniekiem iespēju iegūt pieredzi tieši </w:t>
      </w:r>
      <w:proofErr w:type="spellStart"/>
      <w:r>
        <w:t>startptautiskā</w:t>
      </w:r>
      <w:proofErr w:type="spellEnd"/>
      <w:r>
        <w:t xml:space="preserve"> vidē un </w:t>
      </w:r>
      <w:proofErr w:type="spellStart"/>
      <w:r>
        <w:t>salīdzīnāt</w:t>
      </w:r>
      <w:proofErr w:type="spellEnd"/>
      <w:r>
        <w:t xml:space="preserve"> profesionālos aspektus. Kā otršķirīgais faktors tika minēta iespēja veicināt </w:t>
      </w:r>
      <w:proofErr w:type="spellStart"/>
      <w:r>
        <w:t>starpkultūru</w:t>
      </w:r>
      <w:proofErr w:type="spellEnd"/>
      <w:r>
        <w:t xml:space="preserve"> komunikācijas prasmes, kas nākotnē veicinātu </w:t>
      </w:r>
      <w:r w:rsidR="004C1A3C">
        <w:t>dalībnieku iesaisti arī Eiropas bibliotēku tīklā.</w:t>
      </w:r>
    </w:p>
    <w:p w14:paraId="0C2814AF" w14:textId="77777777" w:rsidR="00AB23FB" w:rsidRDefault="004C1A3C" w:rsidP="00CC4477">
      <w:pPr>
        <w:spacing w:line="360" w:lineRule="auto"/>
        <w:ind w:firstLine="360"/>
        <w:jc w:val="both"/>
      </w:pPr>
      <w:r>
        <w:t xml:space="preserve">Mācību programma savas pastāvēšanas laikā tiek realizēta 13 reizi. Tajā pārsvarā piedalās sievietes vecumā no 40-60, kuras vairākus gadus jau strādā bibliotēku nozarē, taču vēlas formalizēt savas zināšanas un iegūt profesionālo kvalifikāciju. Visbiežāk dalībnieki nav no Rīgas. Konkrēti skatot dalībnieku profilus </w:t>
      </w:r>
      <w:proofErr w:type="spellStart"/>
      <w:r>
        <w:t>starpkultūras</w:t>
      </w:r>
      <w:proofErr w:type="spellEnd"/>
      <w:r>
        <w:t xml:space="preserve"> prizmā, tad visbiežāk dalībniekiem jau ir bijusi iepriekšēja </w:t>
      </w:r>
      <w:proofErr w:type="spellStart"/>
      <w:r>
        <w:t>starpkultūru</w:t>
      </w:r>
      <w:proofErr w:type="spellEnd"/>
      <w:r>
        <w:t xml:space="preserve"> saskarsme, galvenokārt tūrisma dēļ.</w:t>
      </w:r>
    </w:p>
    <w:p w14:paraId="10D242FA" w14:textId="77777777" w:rsidR="00AB23FB" w:rsidRDefault="00AB23FB" w:rsidP="00CC4477">
      <w:pPr>
        <w:spacing w:line="360" w:lineRule="auto"/>
        <w:ind w:firstLine="360"/>
        <w:jc w:val="both"/>
      </w:pPr>
      <w:r>
        <w:tab/>
        <w:t>Pirms starptautiskās mobilitātes īstenošanas dalībniecēm bija jāizpilda valodu tests, lai noteiktu savu zināšanu līmeni. Lai nodrošinātu iekļaujošu mācību vidi tām dalībniecēm, kurām angļu valodas līmenis nebija augstāks par A2, tika norīkotas pavadošās personas no LNB puses, kuras šo personu vietā parūpējās par komunikāciju un sniedza tulkošanu mācību laikā.</w:t>
      </w:r>
    </w:p>
    <w:p w14:paraId="1E17F55E" w14:textId="77777777" w:rsidR="00AB23FB" w:rsidRDefault="00AB23FB" w:rsidP="00CC4477">
      <w:pPr>
        <w:jc w:val="both"/>
      </w:pPr>
      <w:r>
        <w:br w:type="page"/>
      </w:r>
    </w:p>
    <w:p w14:paraId="68A0CF52" w14:textId="77777777" w:rsidR="00AB23FB" w:rsidRPr="00CC4477" w:rsidRDefault="00AB23FB" w:rsidP="00CC4477">
      <w:pPr>
        <w:pStyle w:val="Heading1"/>
        <w:numPr>
          <w:ilvl w:val="0"/>
          <w:numId w:val="2"/>
        </w:numPr>
        <w:jc w:val="both"/>
        <w:rPr>
          <w:rFonts w:ascii="Times New Roman" w:hAnsi="Times New Roman" w:cs="Times New Roman"/>
          <w:b/>
          <w:bCs/>
          <w:color w:val="auto"/>
          <w:sz w:val="28"/>
          <w:szCs w:val="28"/>
        </w:rPr>
      </w:pPr>
      <w:bookmarkStart w:id="10" w:name="_Toc194859686"/>
      <w:r w:rsidRPr="00CC4477">
        <w:rPr>
          <w:rFonts w:ascii="Times New Roman" w:hAnsi="Times New Roman" w:cs="Times New Roman"/>
          <w:b/>
          <w:bCs/>
          <w:color w:val="auto"/>
          <w:sz w:val="28"/>
          <w:szCs w:val="28"/>
        </w:rPr>
        <w:lastRenderedPageBreak/>
        <w:t>Gadījuma pētījums – mobilitāte Rumānijas Nacionālajā bibliotēkā</w:t>
      </w:r>
      <w:bookmarkEnd w:id="10"/>
    </w:p>
    <w:p w14:paraId="6B12AA12" w14:textId="77777777" w:rsidR="00022503" w:rsidRDefault="003C5BFD" w:rsidP="00467033">
      <w:pPr>
        <w:spacing w:line="360" w:lineRule="auto"/>
        <w:ind w:firstLine="360"/>
        <w:jc w:val="both"/>
      </w:pPr>
      <w:r w:rsidRPr="003C5BFD">
        <w:t>Lai izprastu, kā starptautiskā vide ietekmē pieaugušo mācību procesu, šajā pētījumā tika izmantota gadījuma izpētes metode, kas ļauj padziļināti analizēt konkrētu situāciju – šajā gadījumā Latvijas Nacionālās bibliotēkas izglītojamo mācību pieredzi Rumānijas Nacionālajā bibliotēkā.</w:t>
      </w:r>
      <w:r>
        <w:t xml:space="preserve"> </w:t>
      </w:r>
      <w:r w:rsidRPr="003C5BFD">
        <w:t xml:space="preserve">Pētījuma pamatā ir kvalitatīvā pētniecības pieeja, kas piemērota situācijās, kad nepieciešams analizēt sarežģītus, kontekstā balstītus procesus un izprast subjektīvas pieredzes. Tā kā mācību mobilitāte ietver gan individuālas, gan kultūras un institucionālas dimensijas, </w:t>
      </w:r>
      <w:r>
        <w:t>un ņemot vērā, ka darba autors nodrošināja tulkošanu nodarbības laikā, tad novērojums tika uzskatīts par visatbilstošāko kvalitatīvo metodi.</w:t>
      </w:r>
    </w:p>
    <w:p w14:paraId="3A03BF58" w14:textId="77777777" w:rsidR="00022503" w:rsidRDefault="00022503" w:rsidP="00467033">
      <w:pPr>
        <w:spacing w:line="360" w:lineRule="auto"/>
        <w:ind w:firstLine="360"/>
        <w:jc w:val="both"/>
      </w:pPr>
      <w:r w:rsidRPr="00022503">
        <w:t>Pētījumā tika veikts strukturēts dalībnieku novērojums, kura laikā tika analizētas mācību aktivitātes un dalībnieku uzvedība, iesaiste un reakcijas starptautiskā vidē. Novērojums tika veikts Rumānijas Nacionālajā bibliotēkā, kurā astoņi Latvijas Nacionālās bibliotēkas programmas "Bibliotēku, informācijas un arhīvu zinības" dalībnieki piedalījās izglītojošās aktivitātēs</w:t>
      </w:r>
      <w:r>
        <w:t xml:space="preserve"> par bibliotēku marketingu.</w:t>
      </w:r>
    </w:p>
    <w:p w14:paraId="05DD1FEB" w14:textId="7C831F28" w:rsidR="00022503" w:rsidRPr="00022503" w:rsidRDefault="00022503" w:rsidP="00CC4477">
      <w:pPr>
        <w:spacing w:line="360" w:lineRule="auto"/>
        <w:jc w:val="both"/>
      </w:pPr>
      <w:r w:rsidRPr="00022503">
        <w:t>Novērojum</w:t>
      </w:r>
      <w:r>
        <w:t>ā</w:t>
      </w:r>
      <w:r w:rsidRPr="00022503">
        <w:t xml:space="preserve"> tika fiksēti šādi aspekti:</w:t>
      </w:r>
    </w:p>
    <w:p w14:paraId="0F1E3199" w14:textId="77777777" w:rsidR="00022503" w:rsidRPr="00022503" w:rsidRDefault="00022503" w:rsidP="00CC4477">
      <w:pPr>
        <w:numPr>
          <w:ilvl w:val="0"/>
          <w:numId w:val="5"/>
        </w:numPr>
        <w:spacing w:line="360" w:lineRule="auto"/>
        <w:jc w:val="both"/>
        <w:rPr>
          <w:lang w:val="en-GB"/>
        </w:rPr>
      </w:pPr>
      <w:proofErr w:type="spellStart"/>
      <w:r w:rsidRPr="00022503">
        <w:rPr>
          <w:lang w:val="en-GB"/>
        </w:rPr>
        <w:t>dalībnieku</w:t>
      </w:r>
      <w:proofErr w:type="spellEnd"/>
      <w:r w:rsidRPr="00022503">
        <w:rPr>
          <w:lang w:val="en-GB"/>
        </w:rPr>
        <w:t xml:space="preserve"> </w:t>
      </w:r>
      <w:proofErr w:type="spellStart"/>
      <w:r w:rsidRPr="00022503">
        <w:rPr>
          <w:lang w:val="en-GB"/>
        </w:rPr>
        <w:t>iesaiste</w:t>
      </w:r>
      <w:proofErr w:type="spellEnd"/>
      <w:r w:rsidRPr="00022503">
        <w:rPr>
          <w:lang w:val="en-GB"/>
        </w:rPr>
        <w:t xml:space="preserve"> un </w:t>
      </w:r>
      <w:proofErr w:type="spellStart"/>
      <w:r w:rsidRPr="00022503">
        <w:rPr>
          <w:lang w:val="en-GB"/>
        </w:rPr>
        <w:t>aktivitāte</w:t>
      </w:r>
      <w:proofErr w:type="spellEnd"/>
      <w:r w:rsidRPr="00022503">
        <w:rPr>
          <w:lang w:val="en-GB"/>
        </w:rPr>
        <w:t xml:space="preserve"> </w:t>
      </w:r>
      <w:proofErr w:type="spellStart"/>
      <w:r w:rsidRPr="00022503">
        <w:rPr>
          <w:lang w:val="en-GB"/>
        </w:rPr>
        <w:t>mācību</w:t>
      </w:r>
      <w:proofErr w:type="spellEnd"/>
      <w:r w:rsidRPr="00022503">
        <w:rPr>
          <w:lang w:val="en-GB"/>
        </w:rPr>
        <w:t xml:space="preserve"> </w:t>
      </w:r>
      <w:proofErr w:type="spellStart"/>
      <w:r w:rsidRPr="00022503">
        <w:rPr>
          <w:lang w:val="en-GB"/>
        </w:rPr>
        <w:t>procesā</w:t>
      </w:r>
      <w:proofErr w:type="spellEnd"/>
      <w:r w:rsidRPr="00022503">
        <w:rPr>
          <w:lang w:val="en-GB"/>
        </w:rPr>
        <w:t>;</w:t>
      </w:r>
    </w:p>
    <w:p w14:paraId="1461690A" w14:textId="77777777" w:rsidR="00022503" w:rsidRPr="00022503" w:rsidRDefault="00022503" w:rsidP="00CC4477">
      <w:pPr>
        <w:numPr>
          <w:ilvl w:val="0"/>
          <w:numId w:val="5"/>
        </w:numPr>
        <w:spacing w:line="360" w:lineRule="auto"/>
        <w:jc w:val="both"/>
        <w:rPr>
          <w:lang w:val="en-GB"/>
        </w:rPr>
      </w:pPr>
      <w:proofErr w:type="spellStart"/>
      <w:r w:rsidRPr="00022503">
        <w:rPr>
          <w:lang w:val="en-GB"/>
        </w:rPr>
        <w:t>komunikācija</w:t>
      </w:r>
      <w:proofErr w:type="spellEnd"/>
      <w:r w:rsidRPr="00022503">
        <w:rPr>
          <w:lang w:val="en-GB"/>
        </w:rPr>
        <w:t xml:space="preserve"> </w:t>
      </w:r>
      <w:proofErr w:type="spellStart"/>
      <w:r w:rsidRPr="00022503">
        <w:rPr>
          <w:lang w:val="en-GB"/>
        </w:rPr>
        <w:t>ar</w:t>
      </w:r>
      <w:proofErr w:type="spellEnd"/>
      <w:r w:rsidRPr="00022503">
        <w:rPr>
          <w:lang w:val="en-GB"/>
        </w:rPr>
        <w:t xml:space="preserve"> </w:t>
      </w:r>
      <w:proofErr w:type="spellStart"/>
      <w:r w:rsidRPr="00022503">
        <w:rPr>
          <w:lang w:val="en-GB"/>
        </w:rPr>
        <w:t>citu</w:t>
      </w:r>
      <w:proofErr w:type="spellEnd"/>
      <w:r w:rsidRPr="00022503">
        <w:rPr>
          <w:lang w:val="en-GB"/>
        </w:rPr>
        <w:t xml:space="preserve"> </w:t>
      </w:r>
      <w:proofErr w:type="spellStart"/>
      <w:r w:rsidRPr="00022503">
        <w:rPr>
          <w:lang w:val="en-GB"/>
        </w:rPr>
        <w:t>valstu</w:t>
      </w:r>
      <w:proofErr w:type="spellEnd"/>
      <w:r w:rsidRPr="00022503">
        <w:rPr>
          <w:lang w:val="en-GB"/>
        </w:rPr>
        <w:t xml:space="preserve"> </w:t>
      </w:r>
      <w:proofErr w:type="spellStart"/>
      <w:r w:rsidRPr="00022503">
        <w:rPr>
          <w:lang w:val="en-GB"/>
        </w:rPr>
        <w:t>dalībniekiem</w:t>
      </w:r>
      <w:proofErr w:type="spellEnd"/>
      <w:r w:rsidRPr="00022503">
        <w:rPr>
          <w:lang w:val="en-GB"/>
        </w:rPr>
        <w:t>;</w:t>
      </w:r>
    </w:p>
    <w:p w14:paraId="78076FC8" w14:textId="77777777" w:rsidR="00022503" w:rsidRPr="00022503" w:rsidRDefault="00022503" w:rsidP="00CC4477">
      <w:pPr>
        <w:numPr>
          <w:ilvl w:val="0"/>
          <w:numId w:val="5"/>
        </w:numPr>
        <w:spacing w:line="360" w:lineRule="auto"/>
        <w:jc w:val="both"/>
        <w:rPr>
          <w:lang w:val="en-GB"/>
        </w:rPr>
      </w:pPr>
      <w:proofErr w:type="spellStart"/>
      <w:r w:rsidRPr="00022503">
        <w:rPr>
          <w:lang w:val="en-GB"/>
        </w:rPr>
        <w:t>valodas</w:t>
      </w:r>
      <w:proofErr w:type="spellEnd"/>
      <w:r w:rsidRPr="00022503">
        <w:rPr>
          <w:lang w:val="en-GB"/>
        </w:rPr>
        <w:t xml:space="preserve"> </w:t>
      </w:r>
      <w:proofErr w:type="spellStart"/>
      <w:r w:rsidRPr="00022503">
        <w:rPr>
          <w:lang w:val="en-GB"/>
        </w:rPr>
        <w:t>barjeru</w:t>
      </w:r>
      <w:proofErr w:type="spellEnd"/>
      <w:r w:rsidRPr="00022503">
        <w:rPr>
          <w:lang w:val="en-GB"/>
        </w:rPr>
        <w:t xml:space="preserve"> </w:t>
      </w:r>
      <w:proofErr w:type="spellStart"/>
      <w:r w:rsidRPr="00022503">
        <w:rPr>
          <w:lang w:val="en-GB"/>
        </w:rPr>
        <w:t>pārvarēšanas</w:t>
      </w:r>
      <w:proofErr w:type="spellEnd"/>
      <w:r w:rsidRPr="00022503">
        <w:rPr>
          <w:lang w:val="en-GB"/>
        </w:rPr>
        <w:t xml:space="preserve"> </w:t>
      </w:r>
      <w:proofErr w:type="spellStart"/>
      <w:r w:rsidRPr="00022503">
        <w:rPr>
          <w:lang w:val="en-GB"/>
        </w:rPr>
        <w:t>stratēģijas</w:t>
      </w:r>
      <w:proofErr w:type="spellEnd"/>
      <w:r w:rsidRPr="00022503">
        <w:rPr>
          <w:lang w:val="en-GB"/>
        </w:rPr>
        <w:t>;</w:t>
      </w:r>
    </w:p>
    <w:p w14:paraId="67741C75" w14:textId="77777777" w:rsidR="00022503" w:rsidRDefault="00022503" w:rsidP="00CC4477">
      <w:pPr>
        <w:numPr>
          <w:ilvl w:val="0"/>
          <w:numId w:val="5"/>
        </w:numPr>
        <w:spacing w:line="360" w:lineRule="auto"/>
        <w:jc w:val="both"/>
        <w:rPr>
          <w:lang w:val="en-GB"/>
        </w:rPr>
      </w:pPr>
      <w:proofErr w:type="spellStart"/>
      <w:r w:rsidRPr="00022503">
        <w:rPr>
          <w:lang w:val="en-GB"/>
        </w:rPr>
        <w:t>mācību</w:t>
      </w:r>
      <w:proofErr w:type="spellEnd"/>
      <w:r w:rsidRPr="00022503">
        <w:rPr>
          <w:lang w:val="en-GB"/>
        </w:rPr>
        <w:t xml:space="preserve"> </w:t>
      </w:r>
      <w:proofErr w:type="spellStart"/>
      <w:r w:rsidRPr="00022503">
        <w:rPr>
          <w:lang w:val="en-GB"/>
        </w:rPr>
        <w:t>satura</w:t>
      </w:r>
      <w:proofErr w:type="spellEnd"/>
      <w:r w:rsidRPr="00022503">
        <w:rPr>
          <w:lang w:val="en-GB"/>
        </w:rPr>
        <w:t xml:space="preserve"> </w:t>
      </w:r>
      <w:proofErr w:type="spellStart"/>
      <w:r w:rsidRPr="00022503">
        <w:rPr>
          <w:lang w:val="en-GB"/>
        </w:rPr>
        <w:t>uztveres</w:t>
      </w:r>
      <w:proofErr w:type="spellEnd"/>
      <w:r w:rsidRPr="00022503">
        <w:rPr>
          <w:lang w:val="en-GB"/>
        </w:rPr>
        <w:t xml:space="preserve"> </w:t>
      </w:r>
      <w:proofErr w:type="spellStart"/>
      <w:r w:rsidRPr="00022503">
        <w:rPr>
          <w:lang w:val="en-GB"/>
        </w:rPr>
        <w:t>īpatnības</w:t>
      </w:r>
      <w:proofErr w:type="spellEnd"/>
      <w:r w:rsidRPr="00022503">
        <w:rPr>
          <w:lang w:val="en-GB"/>
        </w:rPr>
        <w:t>.</w:t>
      </w:r>
    </w:p>
    <w:p w14:paraId="29ADBA64" w14:textId="77777777" w:rsidR="00F220A7" w:rsidRDefault="00C97D6C" w:rsidP="00CC4477">
      <w:pPr>
        <w:spacing w:line="360" w:lineRule="auto"/>
        <w:ind w:firstLine="360"/>
        <w:jc w:val="both"/>
      </w:pPr>
      <w:r>
        <w:t xml:space="preserve">Kopumā trijās no piecām mācību dienām bija vērojama pilnīga dalībnieku iesaiste mācību procesā, jo sagatavotais materiāls bija pasniegts vienkāršā angļu valodā, izņemot terminoloģiju. Atlikušajās mācību dienās dalībnieku aktivitāte bija manāmi samazinājusies. Atsevišķās sarunās dalībnieki norādīja gan uz garīgo nogurumu (ilgas pēc ģimenes, informācijas intensitāte un mācības svešvalodā). Komunikācija ar citu valstu dalībniekiem, izņemot pasniedzēju, pārsvarā notika ārpus mācībām un tikai nepieciešamības gadījumā (saņemt pakalpojumu vai noskaidrot informāciju). Divām dalībniecēm projektā tika paredzēts atbalsts mācībām un tika nodrošināta mutvārdu tulkošana mācību laikā no LNB puses – attiecīgi, viņu valodas pārvarēšanas stratēģija gandrīz pilnībā balstījās uz tulka sniegumu. Pārējie dalībnieki izmantoja tehnoloģiju brīžos, kad bija nepieciešams pārvarēt atsevišķu valodas barjeras mirkļus. Vairāki </w:t>
      </w:r>
      <w:r>
        <w:lastRenderedPageBreak/>
        <w:t xml:space="preserve">dalībnieki izrādīja mācību satura uztveres īpatnības un bija vērojamas gan kā pozitīvas, gan negatīvas tendences. Par pozitīvu tendenci var uzskatīt atsevišķu izglītojamo iepriekšējās pieredzes izmantošanu jauno zināšanu sintezēšanā, kas pamatā notika sarunā ar pasniedzēju mācību laikā. Tāpat bija padomāts par to, lai mācību materiāls būtu pēc iespējas vizuālāks, kas palīdzētu veidot gan asociatīvu atmiņu ar apgūto vielu, gan mazinātu starpvalodu interferenci. </w:t>
      </w:r>
      <w:r w:rsidR="00F220A7">
        <w:t xml:space="preserve">Viena dalībniece izrādīja negatīvu tendenci un atteicās pildīt dažus no uzdevumiem, jo tie bija pretrunā ar viņas uzskatiem. Vienā no šādiem uzdevumiem bija jāizdomā bibliotēka bez grāmatām un jāprezentē citiem, taču dalībniece visiem pauda, ka tā ir bibliotēkas jēdziena zaimošana un uzdevuma būtība ir neloģiska, jo bibliotēka bez grāmatām nav bibliotēka. </w:t>
      </w:r>
    </w:p>
    <w:p w14:paraId="753DCC55" w14:textId="377B6D56" w:rsidR="00022503" w:rsidRDefault="00F220A7" w:rsidP="00CC4477">
      <w:pPr>
        <w:spacing w:line="360" w:lineRule="auto"/>
        <w:ind w:firstLine="720"/>
        <w:jc w:val="both"/>
      </w:pPr>
      <w:r>
        <w:t xml:space="preserve">Šeit var spekulēt attiecībā uz Rumānijā pieņemto pieeju mācību procesā būt radošākiem, taču ņemot vērā, ka tikai šī persona </w:t>
      </w:r>
      <w:proofErr w:type="spellStart"/>
      <w:r>
        <w:t>saskārās</w:t>
      </w:r>
      <w:proofErr w:type="spellEnd"/>
      <w:r>
        <w:t xml:space="preserve"> ar grūtībām uzdevumu izpildē liecina par to, ka tas individuāls gadījums, kas vairāk saistās ar konkrētās dalībnieces uzskatiem un vērtībām. Viena no divām dalībniecēm, kurai bija nepieciešams tulkojums, atteicās pildīt uzdevumu kurā uz lapas bija jāuzzīmē savas bibliotēkas ideālais logotips. Kad autors vaicāja par iemeslu, tad dalībniece skaidroja, ka nevēlas veikt jebkādus zīmēšanas uzdevumus sakarā ar to, ka no bērnības palikušas nepatīkamas atmiņas un uzskats, ka tagadējais logotips jau ir pietiekami labs. Viena dalībniece atsevišķā sarunā pauda, ka nav uzskatījusi kursa saturu par noderīgu, jo visu jau esot zinājusi un praktizējusi iepriekš, tāpēc noprotams, ka mācību satura uztvere nebija pilnīga.</w:t>
      </w:r>
      <w:r w:rsidR="00022503">
        <w:br w:type="page"/>
      </w:r>
    </w:p>
    <w:p w14:paraId="02AE799A" w14:textId="3CFE9DE2" w:rsidR="00022503" w:rsidRPr="00CC4477" w:rsidRDefault="00F220A7" w:rsidP="00CC4477">
      <w:pPr>
        <w:pStyle w:val="Heading1"/>
        <w:jc w:val="both"/>
        <w:rPr>
          <w:rFonts w:ascii="Times New Roman" w:hAnsi="Times New Roman" w:cs="Times New Roman"/>
          <w:b/>
          <w:bCs/>
          <w:color w:val="auto"/>
          <w:sz w:val="28"/>
          <w:szCs w:val="28"/>
        </w:rPr>
      </w:pPr>
      <w:bookmarkStart w:id="11" w:name="_Toc194859687"/>
      <w:r w:rsidRPr="00CC4477">
        <w:rPr>
          <w:rFonts w:ascii="Times New Roman" w:hAnsi="Times New Roman" w:cs="Times New Roman"/>
          <w:b/>
          <w:bCs/>
          <w:color w:val="auto"/>
          <w:sz w:val="28"/>
          <w:szCs w:val="28"/>
        </w:rPr>
        <w:lastRenderedPageBreak/>
        <w:t>Secinājumi</w:t>
      </w:r>
      <w:bookmarkEnd w:id="11"/>
    </w:p>
    <w:p w14:paraId="6BF785C8" w14:textId="77777777" w:rsidR="00F220A7" w:rsidRDefault="00F220A7" w:rsidP="00CC4477">
      <w:pPr>
        <w:jc w:val="both"/>
      </w:pPr>
    </w:p>
    <w:p w14:paraId="133A2743" w14:textId="4787226C" w:rsidR="00F220A7" w:rsidRDefault="00F220A7" w:rsidP="00467033">
      <w:pPr>
        <w:spacing w:line="360" w:lineRule="auto"/>
        <w:ind w:firstLine="720"/>
        <w:jc w:val="both"/>
      </w:pPr>
      <w:r w:rsidRPr="00F220A7">
        <w:t>Novērojumu rezultāti parāda, ka starptautiskā mācību vide vienlaikus piedāvā gan izaugsmes iespējas, gan izaicinājumus. Dalībnieku iesaiste bija cieši saistīta ar mācību materiāla pieejamību, valodas skaidrību un emocionālo komfortu. Valodas barjeras nereti kavēja pilnvērtīgu dalību, tomēr atbilstošs atbalsts (tulkojums, vizuāli materiāli, tehnoloģiju izmantošana) būtiski veicināja mācību efektivitāti. Atšķirīgās individuālās reakcijas uz mācību uzdevumiem uzsver nepieciešamību mācību procesu veidot ar lielāku empātiju un elastību, īpaši pieaugušo auditorijā, kur dalībnieki ierodas ar noteiktu uzskatu un pieredzes bagāžu.</w:t>
      </w:r>
    </w:p>
    <w:p w14:paraId="1E0398BC" w14:textId="16E9D4C0" w:rsidR="00F220A7" w:rsidRDefault="00F220A7" w:rsidP="00467033">
      <w:pPr>
        <w:spacing w:line="360" w:lineRule="auto"/>
        <w:ind w:firstLine="720"/>
        <w:jc w:val="both"/>
      </w:pPr>
      <w:r>
        <w:t xml:space="preserve">Starptautisko mobilitāšu īstenotājiem </w:t>
      </w:r>
      <w:r w:rsidR="00CC4477">
        <w:t xml:space="preserve">LNB ieteicams pieturēties pie prakses nodrošināt iekļaujošu mācību vidi valodas kontekstā, jo pierādījies, ka tas ir sekmējis izglītojamo ar mazākām iespējam mācīšanās rezultātus. Tāpat īstenotājiem nepieciešams padomāt par pavadošo personu iesaistīšanu </w:t>
      </w:r>
      <w:proofErr w:type="spellStart"/>
      <w:r w:rsidR="00CC4477">
        <w:t>starpkultūru</w:t>
      </w:r>
      <w:proofErr w:type="spellEnd"/>
      <w:r w:rsidR="00CC4477">
        <w:t xml:space="preserve"> komponentes sagatavošanā un padomāt par iespējam dalībniekiem vairāk mijiedarboties starptautiskajā vidē un komunicēt. Tāpat, kritiski jāizvērtē mācību programmu atbilstību tieši pieaugušo izglītības īpatnībām un jāpārliecinās, vai uzņemošās puses pasniedzēji pieturas pie atbilstošas didaktikas. Tāpat, lai mazinātu garīgo slodzi, ieteicams par izvēlēties tādas programmas, kas ir mazāk intensīvas satura ziņā, jo uzskatāms, ka jaunas informācijas uzņemšana svešvalodā </w:t>
      </w:r>
      <w:proofErr w:type="spellStart"/>
      <w:r w:rsidR="00CC4477">
        <w:t>prasā</w:t>
      </w:r>
      <w:proofErr w:type="spellEnd"/>
      <w:r w:rsidR="00CC4477">
        <w:t xml:space="preserve"> lielāku garīgo piepūli. Konsultāciju ietvarā iespējams izglītot mobilitātes dalībniekus par tulkošanas rīkiem, lai pavairotu valodas barjeras pārvarēšanas stratēģijas un veicinātu izglītojamo patstāvību starptautiskā vidē.</w:t>
      </w:r>
    </w:p>
    <w:p w14:paraId="245325DB" w14:textId="77777777" w:rsidR="00CC4477" w:rsidRDefault="00CC4477" w:rsidP="00CC4477">
      <w:pPr>
        <w:jc w:val="both"/>
      </w:pPr>
    </w:p>
    <w:p w14:paraId="3F3665B5" w14:textId="77777777" w:rsidR="00CC4477" w:rsidRPr="00F220A7" w:rsidRDefault="00CC4477" w:rsidP="00CC4477">
      <w:pPr>
        <w:jc w:val="both"/>
      </w:pPr>
    </w:p>
    <w:p w14:paraId="3E4CB1B5" w14:textId="771D4C44" w:rsidR="001B74BA" w:rsidRDefault="001B74BA" w:rsidP="00CC4477">
      <w:pPr>
        <w:jc w:val="both"/>
      </w:pPr>
      <w:r>
        <w:br w:type="page"/>
      </w:r>
    </w:p>
    <w:p w14:paraId="0BEDECD7" w14:textId="64CC2DD0" w:rsidR="00C11096" w:rsidRPr="00CC4477" w:rsidRDefault="001B74BA" w:rsidP="00CC4477">
      <w:pPr>
        <w:pStyle w:val="Heading1"/>
        <w:jc w:val="both"/>
        <w:rPr>
          <w:rFonts w:ascii="Times New Roman" w:hAnsi="Times New Roman" w:cs="Times New Roman"/>
          <w:b/>
          <w:bCs/>
          <w:color w:val="auto"/>
          <w:sz w:val="28"/>
          <w:szCs w:val="28"/>
        </w:rPr>
      </w:pPr>
      <w:bookmarkStart w:id="12" w:name="_Toc194859688"/>
      <w:r w:rsidRPr="00CC4477">
        <w:rPr>
          <w:rFonts w:ascii="Times New Roman" w:hAnsi="Times New Roman" w:cs="Times New Roman"/>
          <w:b/>
          <w:bCs/>
          <w:color w:val="auto"/>
          <w:sz w:val="28"/>
          <w:szCs w:val="28"/>
        </w:rPr>
        <w:lastRenderedPageBreak/>
        <w:t>Izmantotā literatūra</w:t>
      </w:r>
      <w:bookmarkEnd w:id="12"/>
    </w:p>
    <w:p w14:paraId="7B349AFD" w14:textId="77777777" w:rsidR="001B74BA" w:rsidRDefault="001B74BA" w:rsidP="00CC4477">
      <w:pPr>
        <w:jc w:val="both"/>
      </w:pPr>
    </w:p>
    <w:p w14:paraId="05CFD131" w14:textId="77777777" w:rsidR="00F34680" w:rsidRPr="00F34680" w:rsidRDefault="00F34680" w:rsidP="00F34680">
      <w:pPr>
        <w:rPr>
          <w:lang w:val="en-GB"/>
        </w:rPr>
      </w:pPr>
      <w:proofErr w:type="spellStart"/>
      <w:r w:rsidRPr="00F34680">
        <w:rPr>
          <w:lang w:val="en-GB"/>
        </w:rPr>
        <w:t>Ashikuzzaman</w:t>
      </w:r>
      <w:proofErr w:type="spellEnd"/>
      <w:r w:rsidRPr="00F34680">
        <w:rPr>
          <w:lang w:val="en-GB"/>
        </w:rPr>
        <w:t xml:space="preserve">, Md. (2023) </w:t>
      </w:r>
      <w:r w:rsidRPr="00F34680">
        <w:rPr>
          <w:i/>
          <w:iCs/>
          <w:lang w:val="en-GB"/>
        </w:rPr>
        <w:t>Lost in translation: How language barriers affect classroom communication</w:t>
      </w:r>
      <w:r w:rsidRPr="00F34680">
        <w:rPr>
          <w:lang w:val="en-GB"/>
        </w:rPr>
        <w:t xml:space="preserve">, </w:t>
      </w:r>
      <w:r w:rsidRPr="00F34680">
        <w:rPr>
          <w:i/>
          <w:iCs/>
          <w:lang w:val="en-GB"/>
        </w:rPr>
        <w:t>Library &amp; Information Science Education Network</w:t>
      </w:r>
      <w:r w:rsidRPr="00F34680">
        <w:rPr>
          <w:lang w:val="en-GB"/>
        </w:rPr>
        <w:t xml:space="preserve">. Available at: https://www.lisedunetwork.com/lost-in-translation-how-language-barriers-affect-classroom-communication/?utm_source=chatgpt.com (Accessed: 04 April 2025). </w:t>
      </w:r>
    </w:p>
    <w:p w14:paraId="109908EA" w14:textId="77777777" w:rsidR="00F34680" w:rsidRPr="006A0D93" w:rsidRDefault="00F34680" w:rsidP="006A0D93">
      <w:pPr>
        <w:rPr>
          <w:lang w:val="en-GB"/>
        </w:rPr>
      </w:pPr>
      <w:r w:rsidRPr="006A0D93">
        <w:rPr>
          <w:lang w:val="en-GB"/>
        </w:rPr>
        <w:t xml:space="preserve">Gardner, H. (1999) </w:t>
      </w:r>
      <w:r w:rsidRPr="006A0D93">
        <w:rPr>
          <w:i/>
          <w:iCs/>
          <w:lang w:val="en-GB"/>
        </w:rPr>
        <w:t>Intelligence reframed: Multiple intelligences for the 21st Century</w:t>
      </w:r>
      <w:r w:rsidRPr="006A0D93">
        <w:rPr>
          <w:lang w:val="en-GB"/>
        </w:rPr>
        <w:t xml:space="preserve">. New York, New York: Basic Books. </w:t>
      </w:r>
    </w:p>
    <w:p w14:paraId="59F7B0C1" w14:textId="77777777" w:rsidR="00F34680" w:rsidRPr="00F34680" w:rsidRDefault="00F34680" w:rsidP="00F34680">
      <w:pPr>
        <w:rPr>
          <w:lang w:val="en-GB"/>
        </w:rPr>
      </w:pPr>
      <w:r w:rsidRPr="00F34680">
        <w:rPr>
          <w:lang w:val="en-GB"/>
        </w:rPr>
        <w:t xml:space="preserve">Geek Mode Editorial (2025) </w:t>
      </w:r>
      <w:r w:rsidRPr="00F34680">
        <w:rPr>
          <w:i/>
          <w:iCs/>
          <w:lang w:val="en-GB"/>
        </w:rPr>
        <w:t>The impact of language barriers on educational success - geek mode</w:t>
      </w:r>
      <w:r w:rsidRPr="00F34680">
        <w:rPr>
          <w:lang w:val="en-GB"/>
        </w:rPr>
        <w:t xml:space="preserve">, </w:t>
      </w:r>
      <w:r w:rsidRPr="00F34680">
        <w:rPr>
          <w:i/>
          <w:iCs/>
          <w:lang w:val="en-GB"/>
        </w:rPr>
        <w:t>The Insurance Universe</w:t>
      </w:r>
      <w:r w:rsidRPr="00F34680">
        <w:rPr>
          <w:lang w:val="en-GB"/>
        </w:rPr>
        <w:t xml:space="preserve">. Available at: https://geekmode.blog/impact-of-language-barriers/?utm_source=chatgpt.com (Accessed: 04 April 2025). </w:t>
      </w:r>
    </w:p>
    <w:p w14:paraId="0E44BB5A" w14:textId="77777777" w:rsidR="00F34680" w:rsidRDefault="00F34680" w:rsidP="006A0D93">
      <w:r w:rsidRPr="008E6F1E">
        <w:t>Ivanova, Ilze.</w:t>
      </w:r>
      <w:r>
        <w:t xml:space="preserve"> (2016)</w:t>
      </w:r>
      <w:r w:rsidRPr="008E6F1E">
        <w:t xml:space="preserve"> </w:t>
      </w:r>
      <w:r w:rsidRPr="00CC1F14">
        <w:rPr>
          <w:i/>
          <w:iCs/>
        </w:rPr>
        <w:t>Pieaugušo mācīšanās īpatnības</w:t>
      </w:r>
      <w:r>
        <w:t>. Daugavpils, Latvija. Daugavpils Universitāte.</w:t>
      </w:r>
    </w:p>
    <w:p w14:paraId="7DD419FF" w14:textId="77777777" w:rsidR="00F34680" w:rsidRPr="006A0D93" w:rsidRDefault="00F34680" w:rsidP="006A0D93">
      <w:pPr>
        <w:rPr>
          <w:lang w:val="en-GB"/>
        </w:rPr>
      </w:pPr>
      <w:r w:rsidRPr="006A0D93">
        <w:rPr>
          <w:lang w:val="en-GB"/>
        </w:rPr>
        <w:t xml:space="preserve">Knowles, M.S. (1975) </w:t>
      </w:r>
      <w:r w:rsidRPr="006A0D93">
        <w:rPr>
          <w:i/>
          <w:iCs/>
          <w:lang w:val="en-GB"/>
        </w:rPr>
        <w:t>Self-directed learning: A guide for learners and teachers</w:t>
      </w:r>
      <w:r w:rsidRPr="006A0D93">
        <w:rPr>
          <w:lang w:val="en-GB"/>
        </w:rPr>
        <w:t xml:space="preserve">. New York: Cambridge, The Adult Education Co. </w:t>
      </w:r>
    </w:p>
    <w:p w14:paraId="4CF65594" w14:textId="77777777" w:rsidR="00F34680" w:rsidRPr="006A0D93" w:rsidRDefault="00F34680" w:rsidP="006A0D93">
      <w:pPr>
        <w:rPr>
          <w:lang w:val="en-GB"/>
        </w:rPr>
      </w:pPr>
      <w:r w:rsidRPr="006A0D93">
        <w:rPr>
          <w:i/>
          <w:iCs/>
          <w:lang w:val="en-GB"/>
        </w:rPr>
        <w:t>Macies.lnb.lv</w:t>
      </w:r>
      <w:r w:rsidRPr="006A0D93">
        <w:rPr>
          <w:lang w:val="en-GB"/>
        </w:rPr>
        <w:t xml:space="preserve"> (</w:t>
      </w:r>
      <w:r>
        <w:rPr>
          <w:lang w:val="en-GB"/>
        </w:rPr>
        <w:t xml:space="preserve">bez </w:t>
      </w:r>
      <w:proofErr w:type="spellStart"/>
      <w:r>
        <w:rPr>
          <w:lang w:val="en-GB"/>
        </w:rPr>
        <w:t>datuma</w:t>
      </w:r>
      <w:proofErr w:type="spellEnd"/>
      <w:r w:rsidRPr="006A0D93">
        <w:rPr>
          <w:lang w:val="en-GB"/>
        </w:rPr>
        <w:t xml:space="preserve">) </w:t>
      </w:r>
      <w:r w:rsidRPr="006A0D93">
        <w:rPr>
          <w:i/>
          <w:iCs/>
          <w:lang w:val="en-GB"/>
        </w:rPr>
        <w:t>macies.lnb.lv</w:t>
      </w:r>
      <w:r w:rsidRPr="006A0D93">
        <w:rPr>
          <w:lang w:val="en-GB"/>
        </w:rPr>
        <w:t xml:space="preserve">. </w:t>
      </w:r>
      <w:proofErr w:type="spellStart"/>
      <w:r>
        <w:rPr>
          <w:lang w:val="en-GB"/>
        </w:rPr>
        <w:t>Pieejams</w:t>
      </w:r>
      <w:proofErr w:type="spellEnd"/>
      <w:r w:rsidRPr="006A0D93">
        <w:rPr>
          <w:lang w:val="en-GB"/>
        </w:rPr>
        <w:t>: https://macies.lnb.lv/mod/page/view.php?id=21558 (</w:t>
      </w:r>
      <w:proofErr w:type="spellStart"/>
      <w:r>
        <w:rPr>
          <w:lang w:val="en-GB"/>
        </w:rPr>
        <w:t>Piekļuve</w:t>
      </w:r>
      <w:proofErr w:type="spellEnd"/>
      <w:r w:rsidRPr="006A0D93">
        <w:rPr>
          <w:lang w:val="en-GB"/>
        </w:rPr>
        <w:t xml:space="preserve">: </w:t>
      </w:r>
      <w:r>
        <w:rPr>
          <w:lang w:val="en-GB"/>
        </w:rPr>
        <w:t>4.04.2025</w:t>
      </w:r>
      <w:r w:rsidRPr="006A0D93">
        <w:rPr>
          <w:lang w:val="en-GB"/>
        </w:rPr>
        <w:t xml:space="preserve">). </w:t>
      </w:r>
    </w:p>
    <w:p w14:paraId="213DF80B" w14:textId="77777777" w:rsidR="00F34680" w:rsidRPr="006A0D93" w:rsidRDefault="00F34680" w:rsidP="006A0D93">
      <w:pPr>
        <w:rPr>
          <w:lang w:val="en-GB"/>
        </w:rPr>
      </w:pPr>
      <w:proofErr w:type="spellStart"/>
      <w:r w:rsidRPr="006A0D93">
        <w:rPr>
          <w:i/>
          <w:iCs/>
          <w:lang w:val="en-GB"/>
        </w:rPr>
        <w:t>Pieaugušo</w:t>
      </w:r>
      <w:proofErr w:type="spellEnd"/>
      <w:r w:rsidRPr="006A0D93">
        <w:rPr>
          <w:i/>
          <w:iCs/>
          <w:lang w:val="en-GB"/>
        </w:rPr>
        <w:t xml:space="preserve"> </w:t>
      </w:r>
      <w:proofErr w:type="spellStart"/>
      <w:r w:rsidRPr="006A0D93">
        <w:rPr>
          <w:i/>
          <w:iCs/>
          <w:lang w:val="en-GB"/>
        </w:rPr>
        <w:t>Izglītība</w:t>
      </w:r>
      <w:proofErr w:type="spellEnd"/>
      <w:r w:rsidRPr="006A0D93">
        <w:rPr>
          <w:lang w:val="en-GB"/>
        </w:rPr>
        <w:t xml:space="preserve"> (2025) </w:t>
      </w:r>
      <w:proofErr w:type="spellStart"/>
      <w:r w:rsidRPr="006A0D93">
        <w:rPr>
          <w:i/>
          <w:iCs/>
          <w:lang w:val="en-GB"/>
        </w:rPr>
        <w:t>Izglītības</w:t>
      </w:r>
      <w:proofErr w:type="spellEnd"/>
      <w:r w:rsidRPr="006A0D93">
        <w:rPr>
          <w:i/>
          <w:iCs/>
          <w:lang w:val="en-GB"/>
        </w:rPr>
        <w:t xml:space="preserve"> un </w:t>
      </w:r>
      <w:proofErr w:type="spellStart"/>
      <w:r w:rsidRPr="006A0D93">
        <w:rPr>
          <w:i/>
          <w:iCs/>
          <w:lang w:val="en-GB"/>
        </w:rPr>
        <w:t>zinātnes</w:t>
      </w:r>
      <w:proofErr w:type="spellEnd"/>
      <w:r w:rsidRPr="006A0D93">
        <w:rPr>
          <w:i/>
          <w:iCs/>
          <w:lang w:val="en-GB"/>
        </w:rPr>
        <w:t xml:space="preserve"> </w:t>
      </w:r>
      <w:proofErr w:type="spellStart"/>
      <w:r w:rsidRPr="006A0D93">
        <w:rPr>
          <w:i/>
          <w:iCs/>
          <w:lang w:val="en-GB"/>
        </w:rPr>
        <w:t>ministrija</w:t>
      </w:r>
      <w:proofErr w:type="spellEnd"/>
      <w:r w:rsidRPr="006A0D93">
        <w:rPr>
          <w:lang w:val="en-GB"/>
        </w:rPr>
        <w:t xml:space="preserve">. </w:t>
      </w:r>
      <w:proofErr w:type="spellStart"/>
      <w:r>
        <w:rPr>
          <w:lang w:val="en-GB"/>
        </w:rPr>
        <w:t>Pieejams</w:t>
      </w:r>
      <w:proofErr w:type="spellEnd"/>
      <w:r w:rsidRPr="006A0D93">
        <w:rPr>
          <w:lang w:val="en-GB"/>
        </w:rPr>
        <w:t>: https://www.izm.gov.lv/lv/pieauguso-izglitiba?utm_source=https%3A%2F%2Fwww.google.com%2F (</w:t>
      </w:r>
      <w:proofErr w:type="spellStart"/>
      <w:r>
        <w:rPr>
          <w:lang w:val="en-GB"/>
        </w:rPr>
        <w:t>Piekļuve</w:t>
      </w:r>
      <w:proofErr w:type="spellEnd"/>
      <w:r w:rsidRPr="006A0D93">
        <w:rPr>
          <w:lang w:val="en-GB"/>
        </w:rPr>
        <w:t xml:space="preserve">: </w:t>
      </w:r>
      <w:r>
        <w:rPr>
          <w:lang w:val="en-GB"/>
        </w:rPr>
        <w:t>4.04.2025</w:t>
      </w:r>
      <w:r w:rsidRPr="006A0D93">
        <w:rPr>
          <w:lang w:val="en-GB"/>
        </w:rPr>
        <w:t xml:space="preserve">). </w:t>
      </w:r>
    </w:p>
    <w:p w14:paraId="61617956" w14:textId="77777777" w:rsidR="00F34680" w:rsidRPr="006A0D93" w:rsidRDefault="00F34680" w:rsidP="006A0D93">
      <w:pPr>
        <w:rPr>
          <w:lang w:val="en-GB"/>
        </w:rPr>
      </w:pPr>
      <w:r w:rsidRPr="006A0D93">
        <w:rPr>
          <w:lang w:val="en-GB"/>
        </w:rPr>
        <w:t xml:space="preserve">RIA-AE Network (2024) </w:t>
      </w:r>
      <w:r w:rsidRPr="006A0D93">
        <w:rPr>
          <w:i/>
          <w:iCs/>
          <w:lang w:val="en-GB"/>
        </w:rPr>
        <w:t>Impact of Erasmus+ on the Adult Education Sector</w:t>
      </w:r>
      <w:r w:rsidRPr="006A0D93">
        <w:rPr>
          <w:lang w:val="en-GB"/>
        </w:rPr>
        <w:t xml:space="preserve">. publication. </w:t>
      </w:r>
      <w:proofErr w:type="spellStart"/>
      <w:r>
        <w:rPr>
          <w:lang w:val="en-GB"/>
        </w:rPr>
        <w:t>Pieejams</w:t>
      </w:r>
      <w:proofErr w:type="spellEnd"/>
      <w:r w:rsidRPr="006A0D93">
        <w:rPr>
          <w:lang w:val="en-GB"/>
        </w:rPr>
        <w:t>: https://erasmusplus.lv/sites/default/files/media_document/LATVIA_national%20report%20Impact%20Erasmus%2B%20AE%20sector_new%20logo.pdf (</w:t>
      </w:r>
      <w:proofErr w:type="spellStart"/>
      <w:r>
        <w:rPr>
          <w:lang w:val="en-GB"/>
        </w:rPr>
        <w:t>Piekļuve</w:t>
      </w:r>
      <w:proofErr w:type="spellEnd"/>
      <w:r w:rsidRPr="006A0D93">
        <w:rPr>
          <w:lang w:val="en-GB"/>
        </w:rPr>
        <w:t xml:space="preserve">: </w:t>
      </w:r>
      <w:r>
        <w:rPr>
          <w:lang w:val="en-GB"/>
        </w:rPr>
        <w:t>4.04.2025</w:t>
      </w:r>
      <w:r w:rsidRPr="006A0D93">
        <w:rPr>
          <w:lang w:val="en-GB"/>
        </w:rPr>
        <w:t xml:space="preserve">). </w:t>
      </w:r>
    </w:p>
    <w:p w14:paraId="7378D30C" w14:textId="77777777" w:rsidR="00F34680" w:rsidRDefault="00F34680" w:rsidP="006A0D93">
      <w:r w:rsidRPr="001B74BA">
        <w:t xml:space="preserve">Tatjana Koķe, Elīna </w:t>
      </w:r>
      <w:proofErr w:type="spellStart"/>
      <w:r w:rsidRPr="001B74BA">
        <w:t>Maslo</w:t>
      </w:r>
      <w:proofErr w:type="spellEnd"/>
      <w:r w:rsidRPr="001B74BA">
        <w:t xml:space="preserve"> "Pieaugušo izglītība". Nacionālā enciklopēdija. https://enciklopedija.lv/skirklis/1209-pieaugu%C5%A1o-izgl%C4%ABt%C4%ABba (</w:t>
      </w:r>
      <w:proofErr w:type="spellStart"/>
      <w:r>
        <w:rPr>
          <w:lang w:val="en-GB"/>
        </w:rPr>
        <w:t>Piekļuve</w:t>
      </w:r>
      <w:proofErr w:type="spellEnd"/>
      <w:r w:rsidRPr="006A0D93">
        <w:rPr>
          <w:lang w:val="en-GB"/>
        </w:rPr>
        <w:t xml:space="preserve">: </w:t>
      </w:r>
      <w:r>
        <w:rPr>
          <w:lang w:val="en-GB"/>
        </w:rPr>
        <w:t>4.04.2025</w:t>
      </w:r>
      <w:r w:rsidRPr="001B74BA">
        <w:t>).</w:t>
      </w:r>
    </w:p>
    <w:p w14:paraId="577EFFE3" w14:textId="77777777" w:rsidR="00F34680" w:rsidRPr="00F34680" w:rsidRDefault="00F34680" w:rsidP="006A0D93">
      <w:pPr>
        <w:rPr>
          <w:lang w:val="en-GB"/>
        </w:rPr>
      </w:pPr>
    </w:p>
    <w:p w14:paraId="2226C950" w14:textId="77777777" w:rsidR="006A0D93" w:rsidRPr="006A0D93" w:rsidRDefault="006A0D93" w:rsidP="00CC4477">
      <w:pPr>
        <w:jc w:val="both"/>
        <w:rPr>
          <w:lang w:val="en-GB"/>
        </w:rPr>
      </w:pPr>
    </w:p>
    <w:sectPr w:rsidR="006A0D93" w:rsidRPr="006A0D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81AE5"/>
    <w:multiLevelType w:val="multilevel"/>
    <w:tmpl w:val="C1F0C48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1A5560"/>
    <w:multiLevelType w:val="hybridMultilevel"/>
    <w:tmpl w:val="BE0C44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1745A9"/>
    <w:multiLevelType w:val="hybridMultilevel"/>
    <w:tmpl w:val="33A48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C34E02"/>
    <w:multiLevelType w:val="multilevel"/>
    <w:tmpl w:val="E1D093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F756737"/>
    <w:multiLevelType w:val="multilevel"/>
    <w:tmpl w:val="0C3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09"/>
    <w:rsid w:val="00022503"/>
    <w:rsid w:val="00072442"/>
    <w:rsid w:val="000759B6"/>
    <w:rsid w:val="001B74BA"/>
    <w:rsid w:val="002348AA"/>
    <w:rsid w:val="00301A64"/>
    <w:rsid w:val="00344CA7"/>
    <w:rsid w:val="003C5BFD"/>
    <w:rsid w:val="00467033"/>
    <w:rsid w:val="00490FA9"/>
    <w:rsid w:val="004B624F"/>
    <w:rsid w:val="004C1A3C"/>
    <w:rsid w:val="005B4D00"/>
    <w:rsid w:val="00623A77"/>
    <w:rsid w:val="00655A94"/>
    <w:rsid w:val="00671E94"/>
    <w:rsid w:val="00693AC6"/>
    <w:rsid w:val="006A0D93"/>
    <w:rsid w:val="007B699A"/>
    <w:rsid w:val="008E6F1E"/>
    <w:rsid w:val="00A0505A"/>
    <w:rsid w:val="00A30848"/>
    <w:rsid w:val="00A67ADF"/>
    <w:rsid w:val="00A83E8B"/>
    <w:rsid w:val="00AB23FB"/>
    <w:rsid w:val="00AD2BD4"/>
    <w:rsid w:val="00C11096"/>
    <w:rsid w:val="00C15909"/>
    <w:rsid w:val="00C97D6C"/>
    <w:rsid w:val="00CC1F14"/>
    <w:rsid w:val="00CC4477"/>
    <w:rsid w:val="00D04080"/>
    <w:rsid w:val="00D349D4"/>
    <w:rsid w:val="00EA593D"/>
    <w:rsid w:val="00F220A7"/>
    <w:rsid w:val="00F34680"/>
    <w:rsid w:val="00F440D7"/>
    <w:rsid w:val="00F572A6"/>
    <w:rsid w:val="00F70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E2988"/>
  <w15:chartTrackingRefBased/>
  <w15:docId w15:val="{E0DD2EC3-6A4E-4BFA-BB95-C7B2B998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A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7A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ADF"/>
    <w:pPr>
      <w:ind w:left="720"/>
      <w:contextualSpacing/>
    </w:pPr>
  </w:style>
  <w:style w:type="character" w:customStyle="1" w:styleId="Heading1Char">
    <w:name w:val="Heading 1 Char"/>
    <w:basedOn w:val="DefaultParagraphFont"/>
    <w:link w:val="Heading1"/>
    <w:uiPriority w:val="9"/>
    <w:rsid w:val="00A67AD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ADF"/>
    <w:pPr>
      <w:outlineLvl w:val="9"/>
    </w:pPr>
    <w:rPr>
      <w:lang w:val="en-US"/>
    </w:rPr>
  </w:style>
  <w:style w:type="paragraph" w:styleId="TOC1">
    <w:name w:val="toc 1"/>
    <w:basedOn w:val="Normal"/>
    <w:next w:val="Normal"/>
    <w:autoRedefine/>
    <w:uiPriority w:val="39"/>
    <w:unhideWhenUsed/>
    <w:rsid w:val="00A67ADF"/>
    <w:pPr>
      <w:spacing w:after="100"/>
    </w:pPr>
  </w:style>
  <w:style w:type="character" w:styleId="Hyperlink">
    <w:name w:val="Hyperlink"/>
    <w:basedOn w:val="DefaultParagraphFont"/>
    <w:uiPriority w:val="99"/>
    <w:unhideWhenUsed/>
    <w:rsid w:val="00A67ADF"/>
    <w:rPr>
      <w:color w:val="0563C1" w:themeColor="hyperlink"/>
      <w:u w:val="single"/>
    </w:rPr>
  </w:style>
  <w:style w:type="character" w:customStyle="1" w:styleId="Heading2Char">
    <w:name w:val="Heading 2 Char"/>
    <w:basedOn w:val="DefaultParagraphFont"/>
    <w:link w:val="Heading2"/>
    <w:uiPriority w:val="9"/>
    <w:rsid w:val="00A67AD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655A94"/>
    <w:rPr>
      <w:color w:val="605E5C"/>
      <w:shd w:val="clear" w:color="auto" w:fill="E1DFDD"/>
    </w:rPr>
  </w:style>
  <w:style w:type="paragraph" w:styleId="TOC2">
    <w:name w:val="toc 2"/>
    <w:basedOn w:val="Normal"/>
    <w:next w:val="Normal"/>
    <w:autoRedefine/>
    <w:uiPriority w:val="39"/>
    <w:unhideWhenUsed/>
    <w:rsid w:val="00022503"/>
    <w:pPr>
      <w:spacing w:after="100"/>
      <w:ind w:left="240"/>
    </w:pPr>
  </w:style>
  <w:style w:type="table" w:styleId="TableGrid">
    <w:name w:val="Table Grid"/>
    <w:basedOn w:val="TableNormal"/>
    <w:uiPriority w:val="39"/>
    <w:rsid w:val="00CC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4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993">
      <w:bodyDiv w:val="1"/>
      <w:marLeft w:val="0"/>
      <w:marRight w:val="0"/>
      <w:marTop w:val="0"/>
      <w:marBottom w:val="0"/>
      <w:divBdr>
        <w:top w:val="none" w:sz="0" w:space="0" w:color="auto"/>
        <w:left w:val="none" w:sz="0" w:space="0" w:color="auto"/>
        <w:bottom w:val="none" w:sz="0" w:space="0" w:color="auto"/>
        <w:right w:val="none" w:sz="0" w:space="0" w:color="auto"/>
      </w:divBdr>
    </w:div>
    <w:div w:id="401215443">
      <w:bodyDiv w:val="1"/>
      <w:marLeft w:val="0"/>
      <w:marRight w:val="0"/>
      <w:marTop w:val="0"/>
      <w:marBottom w:val="0"/>
      <w:divBdr>
        <w:top w:val="none" w:sz="0" w:space="0" w:color="auto"/>
        <w:left w:val="none" w:sz="0" w:space="0" w:color="auto"/>
        <w:bottom w:val="none" w:sz="0" w:space="0" w:color="auto"/>
        <w:right w:val="none" w:sz="0" w:space="0" w:color="auto"/>
      </w:divBdr>
    </w:div>
    <w:div w:id="511845302">
      <w:bodyDiv w:val="1"/>
      <w:marLeft w:val="0"/>
      <w:marRight w:val="0"/>
      <w:marTop w:val="0"/>
      <w:marBottom w:val="0"/>
      <w:divBdr>
        <w:top w:val="none" w:sz="0" w:space="0" w:color="auto"/>
        <w:left w:val="none" w:sz="0" w:space="0" w:color="auto"/>
        <w:bottom w:val="none" w:sz="0" w:space="0" w:color="auto"/>
        <w:right w:val="none" w:sz="0" w:space="0" w:color="auto"/>
      </w:divBdr>
    </w:div>
    <w:div w:id="695039908">
      <w:bodyDiv w:val="1"/>
      <w:marLeft w:val="0"/>
      <w:marRight w:val="0"/>
      <w:marTop w:val="0"/>
      <w:marBottom w:val="0"/>
      <w:divBdr>
        <w:top w:val="none" w:sz="0" w:space="0" w:color="auto"/>
        <w:left w:val="none" w:sz="0" w:space="0" w:color="auto"/>
        <w:bottom w:val="none" w:sz="0" w:space="0" w:color="auto"/>
        <w:right w:val="none" w:sz="0" w:space="0" w:color="auto"/>
      </w:divBdr>
    </w:div>
    <w:div w:id="754982433">
      <w:bodyDiv w:val="1"/>
      <w:marLeft w:val="0"/>
      <w:marRight w:val="0"/>
      <w:marTop w:val="0"/>
      <w:marBottom w:val="0"/>
      <w:divBdr>
        <w:top w:val="none" w:sz="0" w:space="0" w:color="auto"/>
        <w:left w:val="none" w:sz="0" w:space="0" w:color="auto"/>
        <w:bottom w:val="none" w:sz="0" w:space="0" w:color="auto"/>
        <w:right w:val="none" w:sz="0" w:space="0" w:color="auto"/>
      </w:divBdr>
    </w:div>
    <w:div w:id="945962132">
      <w:bodyDiv w:val="1"/>
      <w:marLeft w:val="0"/>
      <w:marRight w:val="0"/>
      <w:marTop w:val="0"/>
      <w:marBottom w:val="0"/>
      <w:divBdr>
        <w:top w:val="none" w:sz="0" w:space="0" w:color="auto"/>
        <w:left w:val="none" w:sz="0" w:space="0" w:color="auto"/>
        <w:bottom w:val="none" w:sz="0" w:space="0" w:color="auto"/>
        <w:right w:val="none" w:sz="0" w:space="0" w:color="auto"/>
      </w:divBdr>
    </w:div>
    <w:div w:id="1038898652">
      <w:bodyDiv w:val="1"/>
      <w:marLeft w:val="0"/>
      <w:marRight w:val="0"/>
      <w:marTop w:val="0"/>
      <w:marBottom w:val="0"/>
      <w:divBdr>
        <w:top w:val="none" w:sz="0" w:space="0" w:color="auto"/>
        <w:left w:val="none" w:sz="0" w:space="0" w:color="auto"/>
        <w:bottom w:val="none" w:sz="0" w:space="0" w:color="auto"/>
        <w:right w:val="none" w:sz="0" w:space="0" w:color="auto"/>
      </w:divBdr>
    </w:div>
    <w:div w:id="1153134044">
      <w:bodyDiv w:val="1"/>
      <w:marLeft w:val="0"/>
      <w:marRight w:val="0"/>
      <w:marTop w:val="0"/>
      <w:marBottom w:val="0"/>
      <w:divBdr>
        <w:top w:val="none" w:sz="0" w:space="0" w:color="auto"/>
        <w:left w:val="none" w:sz="0" w:space="0" w:color="auto"/>
        <w:bottom w:val="none" w:sz="0" w:space="0" w:color="auto"/>
        <w:right w:val="none" w:sz="0" w:space="0" w:color="auto"/>
      </w:divBdr>
    </w:div>
    <w:div w:id="1499494040">
      <w:bodyDiv w:val="1"/>
      <w:marLeft w:val="0"/>
      <w:marRight w:val="0"/>
      <w:marTop w:val="0"/>
      <w:marBottom w:val="0"/>
      <w:divBdr>
        <w:top w:val="none" w:sz="0" w:space="0" w:color="auto"/>
        <w:left w:val="none" w:sz="0" w:space="0" w:color="auto"/>
        <w:bottom w:val="none" w:sz="0" w:space="0" w:color="auto"/>
        <w:right w:val="none" w:sz="0" w:space="0" w:color="auto"/>
      </w:divBdr>
    </w:div>
    <w:div w:id="1646934045">
      <w:bodyDiv w:val="1"/>
      <w:marLeft w:val="0"/>
      <w:marRight w:val="0"/>
      <w:marTop w:val="0"/>
      <w:marBottom w:val="0"/>
      <w:divBdr>
        <w:top w:val="none" w:sz="0" w:space="0" w:color="auto"/>
        <w:left w:val="none" w:sz="0" w:space="0" w:color="auto"/>
        <w:bottom w:val="none" w:sz="0" w:space="0" w:color="auto"/>
        <w:right w:val="none" w:sz="0" w:space="0" w:color="auto"/>
      </w:divBdr>
    </w:div>
    <w:div w:id="1666087289">
      <w:bodyDiv w:val="1"/>
      <w:marLeft w:val="0"/>
      <w:marRight w:val="0"/>
      <w:marTop w:val="0"/>
      <w:marBottom w:val="0"/>
      <w:divBdr>
        <w:top w:val="none" w:sz="0" w:space="0" w:color="auto"/>
        <w:left w:val="none" w:sz="0" w:space="0" w:color="auto"/>
        <w:bottom w:val="none" w:sz="0" w:space="0" w:color="auto"/>
        <w:right w:val="none" w:sz="0" w:space="0" w:color="auto"/>
      </w:divBdr>
    </w:div>
    <w:div w:id="1801727393">
      <w:bodyDiv w:val="1"/>
      <w:marLeft w:val="0"/>
      <w:marRight w:val="0"/>
      <w:marTop w:val="0"/>
      <w:marBottom w:val="0"/>
      <w:divBdr>
        <w:top w:val="none" w:sz="0" w:space="0" w:color="auto"/>
        <w:left w:val="none" w:sz="0" w:space="0" w:color="auto"/>
        <w:bottom w:val="none" w:sz="0" w:space="0" w:color="auto"/>
        <w:right w:val="none" w:sz="0" w:space="0" w:color="auto"/>
      </w:divBdr>
    </w:div>
    <w:div w:id="1854760022">
      <w:bodyDiv w:val="1"/>
      <w:marLeft w:val="0"/>
      <w:marRight w:val="0"/>
      <w:marTop w:val="0"/>
      <w:marBottom w:val="0"/>
      <w:divBdr>
        <w:top w:val="none" w:sz="0" w:space="0" w:color="auto"/>
        <w:left w:val="none" w:sz="0" w:space="0" w:color="auto"/>
        <w:bottom w:val="none" w:sz="0" w:space="0" w:color="auto"/>
        <w:right w:val="none" w:sz="0" w:space="0" w:color="auto"/>
      </w:divBdr>
    </w:div>
    <w:div w:id="21172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2237</Words>
  <Characters>16405</Characters>
  <Application>Microsoft Office Word</Application>
  <DocSecurity>0</DocSecurity>
  <Lines>321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Matīss Rihards Ikše</cp:lastModifiedBy>
  <cp:revision>6</cp:revision>
  <dcterms:created xsi:type="dcterms:W3CDTF">2025-04-06T16:19:00Z</dcterms:created>
  <dcterms:modified xsi:type="dcterms:W3CDTF">2025-05-08T09:38:00Z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26b04ce0-c148-4b40-86cd-b0847fbd4656</vt:lpwstr>
  </property>
</Properties>
</file>